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04 DEPLOYMENT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DOC-04-DEP-04: High Availability (HA), Multi-DC Active-Passive &amp; Disaster Recovery (DR)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DOC-04-DEP-04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high_availability_multi_dc_active_passive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[infrastructure_architect, cto, disaster_recovery_manager]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DOC-04-DEP-04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DOC-04-DEP-04: High Availability (HA), Multi-DC Active-Passive &amp; Disaster Recovery (DR)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Primary DC in Motijheel connected via dark fiber to Savar Disaster Recovery site.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Multi-Datacenter Active-Passive Synchronous Replication Topology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Primary DC in Motijheel connected via dark fiber to Savar Disaster Recovery site.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High Availability &amp; Multi-DC Disaster Recovery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Infrastructure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ICT Security Guidelines V4.0 §4.1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Physical Datacenter Topology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Primary DC (Motijheel / Gulshan):</w:t>
      </w:r>
      <w:r>
        <w:rPr>
          <w:rFonts w:ascii="Segoe UI" w:hAnsi="Segoe UI"/>
          <w:color w:val="2D3748"/>
          <w:sz w:val="19"/>
        </w:rPr>
        <w:t xml:space="preserve"> Active site handling 100% of read-write transactions.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Disaster Recovery Site (Savar / Jashore):</w:t>
      </w:r>
      <w:r>
        <w:rPr>
          <w:rFonts w:ascii="Segoe UI" w:hAnsi="Segoe UI"/>
          <w:color w:val="2D3748"/>
          <w:sz w:val="19"/>
        </w:rPr>
        <w:t xml:space="preserve"> Warm standby site $&gt; 30\text{ km}$ distant from Primary DC.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Replication Link:</w:t>
      </w:r>
      <w:r>
        <w:rPr>
          <w:rFonts w:ascii="Segoe UI" w:hAnsi="Segoe UI"/>
          <w:color w:val="2D3748"/>
          <w:sz w:val="19"/>
        </w:rPr>
        <w:t xml:space="preserve"> Dedicated 1Gbps point-to-point dark fiber with synchronous streaming replication.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LR</w:t>
              <w:br/>
              <w:t xml:space="preserve">    subgraph Primary_DC ["Primary DC (Active)"]</w:t>
              <w:br/>
              <w:t xml:space="preserve">        INGRESS_PRI["Ingress Controller"]</w:t>
              <w:br/>
              <w:t xml:space="preserve">        API_PRI["ULMS API Cluster"]</w:t>
              <w:br/>
              <w:t xml:space="preserve">        PG_PRI["PostgreSQL Primary"]</w:t>
              <w:br/>
              <w:t xml:space="preserve">    end</w:t>
              <w:br/>
              <w:br/>
              <w:t xml:space="preserve">    subgraph DR_Site ["Disaster Recovery DC (Warm Standby)"]</w:t>
              <w:br/>
              <w:t xml:space="preserve">        INGRESS_DR["Ingress Controller (Standby)"]</w:t>
              <w:br/>
              <w:t xml:space="preserve">        API_DR["ULMS API Cluster (Scaled 0)"]</w:t>
              <w:br/>
              <w:t xml:space="preserve">        PG_DR["PostgreSQL Standby (Streaming Sync)"]</w:t>
              <w:br/>
              <w:t xml:space="preserve">    end</w:t>
              <w:br/>
              <w:br/>
              <w:t xml:space="preserve">    INGRESS_PRI --&gt; API_PRI</w:t>
              <w:br/>
              <w:t xml:space="preserve">    API_PRI --&gt; PG_PRI</w:t>
              <w:br/>
              <w:t xml:space="preserve">    PG_PRI --&gt;|Synchronous WAL Stream| PG_DR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Failover Orchestration via Patroni &amp; DNS GSLB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99.99% system availability targets and automated failover benchmarks.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14315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_kpi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31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High-Availability Uptime &amp; Failover Latency SLAs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99.99% system availability targets and automated failover benchmarks.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Heartbeat Loss Detection:</w:t>
      </w:r>
      <w:r>
        <w:rPr>
          <w:rFonts w:ascii="Segoe UI" w:hAnsi="Segoe UI"/>
          <w:color w:val="2D3748"/>
          <w:sz w:val="19"/>
        </w:rPr>
        <w:t xml:space="preserve"> Patroni etcd cluster detects master node failure within 10 seconds.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Promote Standby:</w:t>
      </w:r>
      <w:r>
        <w:rPr>
          <w:rFonts w:ascii="Segoe UI" w:hAnsi="Segoe UI"/>
          <w:color w:val="2D3748"/>
          <w:sz w:val="19"/>
        </w:rPr>
        <w:t xml:space="preserve"> Standby node in DR site promoted to primary automatically without split-brain risk.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DNS Cutover:</w:t>
      </w:r>
      <w:r>
        <w:rPr>
          <w:rFonts w:ascii="Segoe UI" w:hAnsi="Segoe UI"/>
          <w:color w:val="2D3748"/>
          <w:sz w:val="19"/>
        </w:rPr>
        <w:t xml:space="preserve"> Global Server Load Balancing (GSLB) flips </w:t>
      </w:r>
      <w:r>
        <w:rPr>
          <w:rFonts w:ascii="Consolas" w:hAnsi="Consolas"/>
          <w:color w:val="801515"/>
          <w:sz w:val="18"/>
        </w:rPr>
        <w:t>lms.bank.com.bd</w:t>
      </w:r>
      <w:r>
        <w:rPr>
          <w:rFonts w:ascii="Segoe UI" w:hAnsi="Segoe UI"/>
          <w:color w:val="2D3748"/>
          <w:sz w:val="19"/>
        </w:rPr>
        <w:t xml:space="preserve"> VIP to DR ingress within 30 seconds.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Real-Time Dual-Site Traffic &amp; Ledger Health Monitor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Continuous monitoring of WAL streaming replication delay and split-brain guards.</w:t>
      </w:r>
    </w:p>
    <w:p>
      <w:r>
        <w:rPr>
          <w:b/>
        </w:rPr>
        <w:t>Addendum — v3.1.0 corrections (Independent Forensic Re-audit, 8 October 2026)</w:t>
      </w:r>
    </w:p>
    <w:p>
      <w:r>
        <w:t>Expansion pending (flagged): add RPO/RTO commitments (canonical baseline in MNT-03), failback procedure, DR drill cadence, data-integrity verification, and object-storage replication; align DR geography with the master catalog (Jashore/Chattogram).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DOC-04-DEP-04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