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05 DEVELOPER EXTENSION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DOC-05-EXT-02: New Loan Product Definition &amp; Pricing Extension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DOC-05-EXT-02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new_loan_product_definition_and_pricing_extension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[credit_product_manager, backend_developer, business_analyst, systems_architect]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DOC-05-EXT-02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DOC-05-EXT-02: New Loan Product Definition &amp; Pricing Extension Guide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New Loan Product Definition &amp; Pricing Extension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 Engineering &amp; Extension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Extension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LMS_CODEBASE/apps/api/src/main/java/com/uslbd/ulms/product/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LMS_CODEBASE/PLANNING/03_Backend_Module_Specifications.md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Bangladesh Bank BRPD &amp; SMED Circulars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Target Codebase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c:\software_project\mim_project\LMS\LMS_CODEBASE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Credit Product Domain Architecture &amp; Extension Philosophy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Dynamic UI generation based on product catalog definitions (Retail, SME, Islamic).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appl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Configured Loan Product Application Form &amp; Parameter Rules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Dynamic UI generation based on product catalog definitions (Retail, SME, Islamic).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ULMS v2.0 implements a modular, metadata-driven loan product engine designed to support rapid innovation across conventional banking, SME development programs, and Islamic Shariah-compliant finance without requiring structural codebase refactoring.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TD</w:t>
              <w:br/>
              <w:t xml:space="preserve">    subgraph Product_Engine ["ULMS Dynamic Product &amp; Pricing Engine"]</w:t>
              <w:br/>
              <w:t xml:space="preserve">        PC["1. Product Catalog Definition&lt;br/&gt;Code, Currency, Sector, Shariah Archetype"]</w:t>
              <w:br/>
              <w:t xml:space="preserve">        PR["2. Dynamic Pricing &amp; Interest Rules&lt;br/&gt;Day-Count, Fixed/Floating Spread, SMART Margin"]</w:t>
              <w:br/>
              <w:t xml:space="preserve">        GR["3. Statutory Regulatory Constraints&lt;br/&gt;SMED 02/2024 SME Cap, BRPD DBR 50% Ceiling"]</w:t>
              <w:br/>
              <w:t xml:space="preserve">        WF["4. Approval Ladder Workflow&lt;br/&gt;Delegated Authority Tiers &amp; Credit Committee Matrix"]</w:t>
              <w:br/>
              <w:t xml:space="preserve">        FIN["5. Fineract Core Banking Bridge&lt;br/&gt;GL Account Mapping &amp; Amortization Engine"]</w:t>
              <w:br/>
              <w:t xml:space="preserve">    end</w:t>
              <w:br/>
              <w:t xml:space="preserve">    PC --&gt; PR --&gt; GR --&gt; WF --&gt; FIN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Core Product Archetypes: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Retail Consumer Lending:</w:t>
      </w:r>
      <w:r>
        <w:rPr>
          <w:rFonts w:ascii="Segoe UI" w:hAnsi="Segoe UI"/>
          <w:color w:val="2D3748"/>
          <w:sz w:val="19"/>
        </w:rPr>
        <w:t xml:space="preserve"> Personal loans, auto loans, home mortgages (BRPD DBR $\le 50\%$ strict cap).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SME &amp; Cottage Finance:</w:t>
      </w:r>
      <w:r>
        <w:rPr>
          <w:rFonts w:ascii="Segoe UI" w:hAnsi="Segoe UI"/>
          <w:color w:val="2D3748"/>
          <w:sz w:val="19"/>
        </w:rPr>
        <w:t xml:space="preserve"> Working capital, term loans, cluster refinancing (Bangladesh Bank SMED Circular 02/2024).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Corporate Syndication:</w:t>
      </w:r>
      <w:r>
        <w:rPr>
          <w:rFonts w:ascii="Segoe UI" w:hAnsi="Segoe UI"/>
          <w:color w:val="2D3748"/>
          <w:sz w:val="19"/>
        </w:rPr>
        <w:t xml:space="preserve"> Working capital limits, trade finance, revolving credit.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4. </w:t>
      </w:r>
      <w:r>
        <w:rPr>
          <w:rFonts w:ascii="Segoe UI" w:hAnsi="Segoe UI"/>
          <w:b/>
          <w:color w:val="2D3748"/>
          <w:sz w:val="19"/>
        </w:rPr>
        <w:t>Islamic Shariah Finance:</w:t>
      </w:r>
      <w:r>
        <w:rPr>
          <w:rFonts w:ascii="Segoe UI" w:hAnsi="Segoe UI"/>
          <w:color w:val="2D3748"/>
          <w:sz w:val="19"/>
        </w:rPr>
        <w:t xml:space="preserve"> Bai-Murabaha (Cost-Plus), Bai-Muajjal (Deferred Payment), Ijara (Leasing), Diminishing Musharaka.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End-to-End Tutorial: Creating a New Islamic "Bai-Murabaha SME Working Capital" Product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Kanban underwriting queue dynamically routing applications by product type.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2_pipelin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Product Origination Pipeline Handling Custom Credit Products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Kanban underwriting queue dynamically routing applications by product type.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Follow this 5-step tutorial to define, configure, register, and verify a new credit product in ULMS.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1: Database Seed Migration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Create migration apps/api/src/main/resources/db/migration/V20__seed_murabaha_sme_product.sql (NEW file — V18/V19 are taken; verify with ls db/migration):</w:t>
      </w:r>
      <w:r>
        <w:rPr>
          <w:rFonts w:ascii="Consolas" w:hAnsi="Consolas"/>
          <w:color w:val="801515"/>
          <w:sz w:val="18"/>
        </w:rPr>
      </w:r>
      <w:r>
        <w:rPr>
          <w:rFonts w:ascii="Segoe UI" w:hAnsi="Segoe UI"/>
          <w:color w:val="2D3748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sql</w:t>
              <w:br/>
            </w:r>
            <w:r>
              <w:rPr>
                <w:rFonts w:ascii="Consolas" w:hAnsi="Consolas"/>
                <w:color w:val="1A202C"/>
                <w:sz w:val="17"/>
              </w:rPr>
              <w:t>-- Migration: V20__seed_murabaha_sme_product.sql</w:t>
              <w:br/>
              <w:t>-- Purpose: Register Bai-Murabaha SME Working Capital product catalog entry</w:t>
              <w:br/>
              <w:br/>
              <w:t>INSERT INTO ulms.loan_products (</w:t>
              <w:br/>
              <w:t xml:space="preserve">    id,</w:t>
              <w:br/>
              <w:t xml:space="preserve">    product_code,</w:t>
              <w:br/>
              <w:t xml:space="preserve">    product_name,</w:t>
              <w:br/>
              <w:t xml:space="preserve">    product_archetype,</w:t>
              <w:br/>
              <w:t xml:space="preserve">    currency,</w:t>
              <w:br/>
              <w:t xml:space="preserve">    min_principal_minor,</w:t>
              <w:br/>
              <w:t xml:space="preserve">    max_principal_minor,</w:t>
              <w:br/>
              <w:t xml:space="preserve">    min_tenor_months,</w:t>
              <w:br/>
              <w:t xml:space="preserve">    max_tenor_months,</w:t>
              <w:br/>
              <w:t xml:space="preserve">    interest_calculation_type,</w:t>
              <w:br/>
              <w:t xml:space="preserve">    day_count_convention,</w:t>
              <w:br/>
              <w:t xml:space="preserve">    statutory_dbr_cap_percentage,</w:t>
              <w:br/>
              <w:t xml:space="preserve">    default_profit_rate,</w:t>
              <w:br/>
              <w:t xml:space="preserve">    is_shariah_compliant,</w:t>
              <w:br/>
              <w:t xml:space="preserve">    active</w:t>
              <w:br/>
              <w:t>) VALUES (</w:t>
              <w:br/>
              <w:t xml:space="preserve">    'PRD-ISL-MURABAHA-SME-001',</w:t>
              <w:br/>
              <w:t xml:space="preserve">    'MURABAHA-SME',</w:t>
              <w:br/>
              <w:t xml:space="preserve">    'Bai-Murabaha SME Working Capital',</w:t>
              <w:br/>
              <w:t xml:space="preserve">    'ISLAMIC_MURABAHA',</w:t>
              <w:br/>
              <w:t xml:space="preserve">    'BDT',</w:t>
              <w:br/>
              <w:t xml:space="preserve">    10000000,       -- BDT 100,000 (in poisha)</w:t>
              <w:br/>
              <w:t xml:space="preserve">    500000000,      -- BDT 5,000,000 (in poisha)</w:t>
              <w:br/>
              <w:t xml:space="preserve">    6,              -- 6 months</w:t>
              <w:br/>
              <w:t xml:space="preserve">    36,             -- 36 months</w:t>
              <w:br/>
              <w:t xml:space="preserve">    'COST_PLUS_PROFIT_INSTALLMENT',</w:t>
              <w:br/>
              <w:t xml:space="preserve">    'ACTUAL_365',</w:t>
              <w:br/>
              <w:t xml:space="preserve">    50.00,</w:t>
              <w:br/>
              <w:t xml:space="preserve">    9.50,</w:t>
              <w:br/>
              <w:t xml:space="preserve">    TRUE,</w:t>
              <w:br/>
              <w:t xml:space="preserve">    TRUE</w:t>
              <w:br/>
              <w:t>) ON CONFLICT (product_code) DO NOTHING;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2: Implement Java Domain Pricing Strategy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Create the Shariah-compliant pricing calculator in </w:t>
      </w:r>
      <w:r>
        <w:rPr>
          <w:rFonts w:ascii="Consolas" w:hAnsi="Consolas"/>
          <w:color w:val="801515"/>
          <w:sz w:val="18"/>
        </w:rPr>
        <w:t>apps/api/src/main/java/com/uslbd/ulms/product/ProductService.java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java</w:t>
              <w:br/>
            </w:r>
            <w:r>
              <w:rPr>
                <w:rFonts w:ascii="Consolas" w:hAnsi="Consolas"/>
                <w:color w:val="1A202C"/>
                <w:sz w:val="17"/>
              </w:rPr>
              <w:t>package com.uslbd.ulms.product.pricing;</w:t>
              <w:br/>
              <w:br/>
              <w:t>import com.uslbd.ulms.platform.MoneyMath;</w:t>
              <w:br/>
              <w:t>import org.springframework.stereotype.Component;</w:t>
              <w:br/>
              <w:t>import java.math.BigDecimal;</w:t>
              <w:br/>
              <w:t>import java.math.RoundingMode;</w:t>
              <w:br/>
              <w:br/>
              <w:t>@Component("MURABAHA_PRICING_STRATEGY")</w:t>
              <w:br/>
              <w:t>public class MurabahaPricingStrategy implements PricingStrategy {</w:t>
              <w:br/>
              <w:br/>
              <w:t xml:space="preserve">    @Override</w:t>
              <w:br/>
              <w:t xml:space="preserve">    public PricingCalculationResult calculate(BigDecimal goodsCostBDT, int tenorMonths, BigDecimal annualProfitRate) {</w:t>
              <w:br/>
              <w:t xml:space="preserve">        // Shariah Cost-Plus Calculation:</w:t>
              <w:br/>
              <w:t xml:space="preserve">        // Total Profit = Goods Cost * (Profit Rate / 100) * (Tenor Months / 12)</w:t>
              <w:br/>
              <w:t xml:space="preserve">        BigDecimal tenorYears = BigDecimal.valueOf(tenorMonths).divide(BigDecimal.valueOf(12), 6, RoundingMode.HALF_UP);</w:t>
              <w:br/>
              <w:t xml:space="preserve">        BigDecimal totalProfitBDT = goodsCostBDT</w:t>
              <w:br/>
              <w:t xml:space="preserve">                .multiply(annualProfitRate.divide(BigDecimal.valueOf(100), 6, RoundingMode.HALF_UP))</w:t>
              <w:br/>
              <w:t xml:space="preserve">                .multiply(tenorYears)</w:t>
              <w:br/>
              <w:t xml:space="preserve">                .setScale(2, RoundingMode.HALF_UP);</w:t>
              <w:br/>
              <w:br/>
              <w:t xml:space="preserve">        BigDecimal totalSellingPriceBDT = goodsCostBDT.add(totalProfitBDT);</w:t>
              <w:br/>
              <w:t xml:space="preserve">        BigDecimal monthlyInstallmentBDT = totalSellingPriceBDT.divide(</w:t>
              <w:br/>
              <w:t xml:space="preserve">                BigDecimal.valueOf(tenorMonths), 2, RoundingMode.HALF_UP</w:t>
              <w:br/>
              <w:t xml:space="preserve">        );</w:t>
              <w:br/>
              <w:br/>
              <w:t xml:space="preserve">        return new PricingCalculationResult(</w:t>
              <w:br/>
              <w:t xml:space="preserve">                goodsCostBDT,</w:t>
              <w:br/>
              <w:t xml:space="preserve">                totalProfitBDT,</w:t>
              <w:br/>
              <w:t xml:space="preserve">                totalSellingPriceBDT,</w:t>
              <w:br/>
              <w:t xml:space="preserve">                monthlyInstallmentBDT</w:t>
              <w:br/>
              <w:t xml:space="preserve">        );</w:t>
              <w:br/>
              <w:t xml:space="preserve">    }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3: Apache Fineract Loan Product Registration Bridge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Production pipeline supporting parallel workflows for conventional and Islamic finance.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pipelin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Multi-Product Origination Processing &amp; Underwriting Queue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Production pipeline supporting parallel workflows for conventional and Islamic finance.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Configure the upstream Fineract core banking product template via REST API: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curl -s -X POST http://localhost:8083/fineract-provider/api/v1/loanproducts \</w:t>
              <w:br/>
              <w:t xml:space="preserve">  -H "Fineract-Platform-TenantId: default" \</w:t>
              <w:br/>
              <w:t xml:space="preserve">  -H "Authorization: Basic ${FINERACT_BASIC_AUTH}"  # from .env — never commit credentials \</w:t>
              <w:br/>
              <w:t xml:space="preserve">  -H "Content-Type: application/json" \</w:t>
              <w:br/>
              <w:t xml:space="preserve">  -d '{</w:t>
              <w:br/>
              <w:t xml:space="preserve">    "name": "Bai-Murabaha SME Working Capital",</w:t>
              <w:br/>
              <w:t xml:space="preserve">    "shortName": "MUR-SME",</w:t>
              <w:br/>
              <w:t xml:space="preserve">    "currencyCode": "BDT",</w:t>
              <w:br/>
              <w:t xml:space="preserve">    "digitsAfterDecimal": 2,</w:t>
              <w:br/>
              <w:t xml:space="preserve">    "inMultiplesOf": 1,</w:t>
              <w:br/>
              <w:t xml:space="preserve">    "principal": 1000000,</w:t>
              <w:br/>
              <w:t xml:space="preserve">    "numberOfRepayments": 24,</w:t>
              <w:br/>
              <w:t xml:space="preserve">    "repaymentEvery": 1,</w:t>
              <w:br/>
              <w:t xml:space="preserve">    "repaymentFrequencyType": 2,</w:t>
              <w:br/>
              <w:t xml:space="preserve">    "interestRatePerPeriod": 9.5,</w:t>
              <w:br/>
              <w:t xml:space="preserve">    "interestRateFrequencyType": 3,</w:t>
              <w:br/>
              <w:t xml:space="preserve">    "annualInterestRate": 9.5,</w:t>
              <w:br/>
              <w:t xml:space="preserve">    "amortizationType": 1,</w:t>
              <w:br/>
              <w:t xml:space="preserve">    "interestType": 0,</w:t>
              <w:br/>
              <w:t xml:space="preserve">    "interestCalculationPeriodType": 1,</w:t>
              <w:br/>
              <w:t xml:space="preserve">    "transactionProcessingStrategyCode": "mifos-standard-strategy",</w:t>
              <w:br/>
              <w:t xml:space="preserve">    "accountingRule": 2,</w:t>
              <w:br/>
              <w:t xml:space="preserve">    "fundId": 1</w:t>
              <w:br/>
              <w:t xml:space="preserve">  }'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4: React 19 Dynamic Wizard Parameter Binding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The staff frontend origination wizard dynamically pulls product parameters from </w:t>
      </w:r>
      <w:r>
        <w:rPr>
          <w:rFonts w:ascii="Consolas" w:hAnsi="Consolas"/>
          <w:color w:val="801515"/>
          <w:sz w:val="18"/>
        </w:rPr>
        <w:t>/api/v1/products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tsx</w:t>
              <w:br/>
            </w:r>
            <w:r>
              <w:rPr>
                <w:rFonts w:ascii="Consolas" w:hAnsi="Consolas"/>
                <w:color w:val="1A202C"/>
                <w:sz w:val="17"/>
              </w:rPr>
              <w:t>// apps/web/src/modules/origination/ProductParameterBinder.tsx</w:t>
              <w:br/>
              <w:t>export const MurabahaProductFields = ({ product, form }: ProductProps) =&gt; {</w:t>
              <w:br/>
              <w:t xml:space="preserve">  return (</w:t>
              <w:br/>
              <w:t xml:space="preserve">    &lt;Box sx={{ mt: 2 }}&gt;</w:t>
              <w:br/>
              <w:t xml:space="preserve">      &lt;Typography variant="h6" color="primary"&gt;</w:t>
              <w:br/>
              <w:t xml:space="preserve">        {product.productName} (Shariah Compliant)</w:t>
              <w:br/>
              <w:t xml:space="preserve">      &lt;/Typography&gt;</w:t>
              <w:br/>
              <w:t xml:space="preserve">      &lt;Alert severity="info" sx={{ my: 1 }}&gt;</w:t>
              <w:br/>
              <w:t xml:space="preserve">        Cost-Plus Profit Model: Declared Goods Purchase Price + Agreed Bank Profit Margin.</w:t>
              <w:br/>
              <w:t xml:space="preserve">      &lt;/Alert&gt;</w:t>
              <w:br/>
              <w:t xml:space="preserve">      &lt;TextField</w:t>
              <w:br/>
              <w:t xml:space="preserve">        label="Goods Invoice / Cost Price (BDT)"</w:t>
              <w:br/>
              <w:t xml:space="preserve">        fullWidth</w:t>
              <w:br/>
              <w:t xml:space="preserve">        type="number"</w:t>
              <w:br/>
              <w:t xml:space="preserve">        {...form.register('goodsCostPrice', { required: true })}</w:t>
              <w:br/>
              <w:t xml:space="preserve">        helperText={`Allowed: BDT ${product.minPrincipal} to BDT ${product.maxPrincipal}`}</w:t>
              <w:br/>
              <w:t xml:space="preserve">      /&gt;</w:t>
              <w:br/>
              <w:t xml:space="preserve">    &lt;/Box&gt;</w:t>
              <w:br/>
              <w:t xml:space="preserve">  );</w:t>
              <w:br/>
              <w:t>};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5: Automated Verification Test Oracle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Create a unit test validating statutory math in </w:t>
      </w:r>
      <w:r>
        <w:rPr>
          <w:rFonts w:ascii="Consolas" w:hAnsi="Consolas"/>
          <w:color w:val="801515"/>
          <w:sz w:val="18"/>
        </w:rPr>
        <w:t>apps/api/src/test/java/com/uslbd/ulms/ModularityTest.java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java</w:t>
              <w:br/>
            </w:r>
            <w:r>
              <w:rPr>
                <w:rFonts w:ascii="Consolas" w:hAnsi="Consolas"/>
                <w:color w:val="1A202C"/>
                <w:sz w:val="17"/>
              </w:rPr>
              <w:t>@Test</w:t>
              <w:br/>
              <w:t>void testMurabahaProfitAndInstallmentCalculation() {</w:t>
              <w:br/>
              <w:t xml:space="preserve">    MurabahaPricingStrategy strategy = new MurabahaPricingStrategy();</w:t>
              <w:br/>
              <w:t xml:space="preserve">    BigDecimal goodsCost = new BigDecimal("1200000.00"); // 12 Lac BDT</w:t>
              <w:br/>
              <w:t xml:space="preserve">    int tenorMonths = 24; // 2 years</w:t>
              <w:br/>
              <w:t xml:space="preserve">    BigDecimal profitRate = new BigDecimal("9.50"); // 9.5% p.a.</w:t>
              <w:br/>
              <w:br/>
              <w:t xml:space="preserve">    var result = strategy.calculate(goodsCost, tenorMonths, profitRate);</w:t>
              <w:br/>
              <w:br/>
              <w:t xml:space="preserve">    // Expected Profit = 1,200,000 * 0.095 * 2 = 228,000 BDT</w:t>
              <w:br/>
              <w:t xml:space="preserve">    assertEquals(new BigDecimal("228000.00"), result.totalProfitBDT());</w:t>
              <w:br/>
              <w:t xml:space="preserve">    // Total Sale Price = 1,428,000 BDT</w:t>
              <w:br/>
              <w:t xml:space="preserve">    assertEquals(new BigDecimal("1428000.00"), result.totalSellingPriceBDT());</w:t>
              <w:br/>
              <w:t xml:space="preserve">    // Monthly Installment = 1,428,000 / 24 = 59,500.00 BDT</w:t>
              <w:br/>
              <w:t xml:space="preserve">    assertEquals(new BigDecimal("59500.00"), result.monthlyInstallmentBDT());</w:t>
              <w:br/>
              <w:t>}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— End of New Loan Product Definition &amp; Pricing Extension Guide —</w:t>
      </w:r>
    </w:p>
    <w:p>
      <w:r>
        <w:rPr>
          <w:b/>
        </w:rPr>
        <w:t>Addendum — v3.1.0 corrections (Independent Forensic Re-audit, 8 October 2026)</w:t>
      </w:r>
    </w:p>
    <w:p>
      <w:r>
        <w:t>Money rule (v3.1.0): the sample pricing strategy shown in BigDecimal/setScale(2, HALF_UP) form violates the platform invariant. Canonical pattern: integer poisha (long) end-to-end with com.uslbd.ulms.platform.MoneyMath (HALF_EVEN) — compute profit and installments in minor units and convert for display only. The migration must be a NEW file (V20+); ulms.loan_product is the catalog table.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DOC-05-EXT-02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