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003366"/>
            <w:tcMar>
              <w:top w:w="260" w:type="dxa"/>
              <w:bottom w:w="260" w:type="dxa"/>
              <w:left w:w="300" w:type="dxa"/>
              <w:right w:w="300" w:type="dxa"/>
            </w:tcMar>
            <w:tcBorders>
              <w:top w:val="single" w:sz="6" w:space="0" w:color="003366"/>
              <w:left w:val="single" w:sz="24" w:space="0" w:color="D4AF37"/>
              <w:bottom w:val="single" w:sz="18" w:space="0" w:color="D4AF37"/>
              <w:right w:val="single" w:sz="6" w:space="0" w:color="003366"/>
            </w:tcBorders>
          </w:tcPr>
          <w:p>
            <w:pPr>
              <w:spacing w:before="0" w:after="80"/>
            </w:pPr>
            <w:r>
              <w:rPr>
                <w:rFonts w:ascii="Segoe UI" w:hAnsi="Segoe UI"/>
                <w:b/>
                <w:color w:val="D4AF37"/>
                <w:sz w:val="19"/>
              </w:rPr>
              <w:t>UNISOFT LOAN MANAGEMENT SYSTEM (ULMS v2.0) · 05 DEVELOPER EXTENSION</w:t>
              <w:br/>
            </w:r>
            <w:r>
              <w:rPr>
                <w:rFonts w:ascii="Segoe UI" w:hAnsi="Segoe UI"/>
                <w:b/>
                <w:color w:val="FFFFFF"/>
                <w:sz w:val="34"/>
              </w:rPr>
              <w:t>DOC-05-EXT-05: React Staff Portal Screen &amp; High-Density Data Grid Extension Guide</w:t>
              <w:br/>
            </w:r>
            <w:r>
              <w:rPr>
                <w:rFonts w:ascii="Segoe UI" w:hAnsi="Segoe UI"/>
                <w:i/>
                <w:color w:val="CBD5E0"/>
                <w:sz w:val="17"/>
              </w:rPr>
              <w:t>Document ID: DOC-05-EXT-05  ·  Standard: Diátaxis / C4 Model  ·  Bangladesh Bank Compliant</w:t>
            </w:r>
          </w:p>
        </w:tc>
      </w:tr>
    </w:tbl>
    <w:p>
      <w:pPr>
        <w:spacing w:before="80" w:after="80"/>
      </w:pP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type: tutorial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topic: react_staff_portal_screen_extension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target_audience: [frontend_developer, ui_ux_designer]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version: 2026.10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document_id: DOC-05-EXT-05</w:t>
      </w:r>
    </w:p>
    <w:p>
      <w:pPr>
        <w:keepNext/>
        <w:spacing w:before="280" w:after="80"/>
      </w:pPr>
      <w:r>
        <w:rPr>
          <w:rFonts w:ascii="Segoe UI" w:hAnsi="Segoe UI"/>
          <w:b/>
          <w:color w:val="003366"/>
          <w:sz w:val="29"/>
        </w:rPr>
        <w:t>DOC-05-EXT-05: React Staff Portal Screen &amp; High-Density Data Grid Extension Guide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>As illustrated in Figure 1 below, Unified navigation layout with high-density navigation tiles and responsive layout.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index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1: Dynamics 365 Enterprise Navigation &amp; Screen Hub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Unified navigation layout with high-density navigation tiles and responsive layout.</w:t>
      </w:r>
    </w:p>
    <w:p>
      <w:pPr>
        <w:spacing w:before="0" w:after="80" w:line="276" w:lineRule="auto"/>
      </w:pPr>
      <w:r>
        <w:rPr>
          <w:rFonts w:ascii="Segoe UI" w:hAnsi="Segoe UI"/>
          <w:b/>
          <w:color w:val="2D3748"/>
          <w:sz w:val="19"/>
        </w:rPr>
        <w:t>Document Control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tcW w:w="4680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Title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React Staff Portal Screen Extension Guide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Project Name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Unisoft Loan Management System (ULMS v2.0)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Document Version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Date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2026-10-07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Classification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Developer Tutorial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Status</w:t>
            </w:r>
          </w:p>
        </w:tc>
        <w:tc>
          <w:tcPr>
            <w:tcW w:type="dxa" w:w="4680"/>
            <w:tcW w:w="4680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 Master Specification</w:t>
            </w:r>
          </w:p>
        </w:tc>
      </w:tr>
      <w:tr>
        <w:trPr>
          <w:cantSplit/>
        </w:trPr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2D3748"/>
                <w:sz w:val="17"/>
              </w:rPr>
              <w:t>Authority Chain</w:t>
            </w:r>
          </w:p>
        </w:tc>
        <w:tc>
          <w:tcPr>
            <w:tcW w:type="dxa" w:w="4680"/>
            <w:tcW w:w="4680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 xml:space="preserve">React 19 / MUI v7 Guidelines → </w:t>
            </w:r>
            <w:r>
              <w:rPr>
                <w:rFonts w:ascii="Consolas" w:hAnsi="Consolas"/>
                <w:color w:val="801515"/>
                <w:sz w:val="16"/>
              </w:rPr>
              <w:t>Front_end/</w:t>
            </w:r>
            <w:r>
              <w:rPr>
                <w:rFonts w:ascii="Segoe UI" w:hAnsi="Segoe UI"/>
                <w:color w:val="2D3748"/>
                <w:sz w:val="17"/>
              </w:rPr>
              <w:t xml:space="preserve"> Validated UX Prototype</w:t>
            </w:r>
          </w:p>
        </w:tc>
      </w:tr>
    </w:tbl>
    <w:p>
      <w:pPr>
        <w:spacing w:before="80" w:after="80"/>
      </w:pPr>
    </w:p>
    <w:p>
      <w:pPr>
        <w:spacing w:before="160" w:after="40"/>
      </w:pPr>
      <w:r>
        <w:rPr>
          <w:rFonts w:ascii="Segoe UI" w:hAnsi="Segoe UI"/>
          <w:b/>
          <w:color w:val="1A365D"/>
          <w:sz w:val="22"/>
        </w:rPr>
        <w:t>Document Revision History &amp; Institutional Sign-Off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985"/>
            <w:tcW w:w="985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1379"/>
            <w:tcW w:w="1379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Release Date</w:t>
            </w:r>
          </w:p>
        </w:tc>
        <w:tc>
          <w:tcPr>
            <w:tcW w:type="dxa" w:w="1971"/>
            <w:tcW w:w="1971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Author / Role</w:t>
            </w:r>
          </w:p>
        </w:tc>
        <w:tc>
          <w:tcPr>
            <w:tcW w:type="dxa" w:w="3547"/>
            <w:tcW w:w="3547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Summary of Technical Changes</w:t>
            </w:r>
          </w:p>
        </w:tc>
        <w:tc>
          <w:tcPr>
            <w:tcW w:type="dxa" w:w="1478"/>
            <w:tcW w:w="1478" w:type="dxa"/>
            <w:shd w:fill="003366"/>
            <w:tcMar>
              <w:top w:w="140" w:type="dxa"/>
              <w:bottom w:w="140" w:type="dxa"/>
              <w:left w:w="160" w:type="dxa"/>
              <w:right w:w="160" w:type="dxa"/>
            </w:tcMar>
            <w:tcBorders>
              <w:top w:val="single" w:sz="4" w:space="0" w:color="CBD5E0"/>
              <w:left w:val="single" w:sz="4" w:space="0" w:color="CBD5E0"/>
              <w:bottom w:val="single" w:sz="12" w:space="0" w:color="D4AF37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b/>
                <w:color w:val="FFFFFF"/>
                <w:sz w:val="18"/>
              </w:rPr>
              <w:t>Status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1.0.0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January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Documentation Core Team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Initial BRD &amp; Architecture Specification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Draft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2.0.0</w:t>
            </w:r>
          </w:p>
        </w:tc>
        <w:tc>
          <w:tcPr>
            <w:tcW w:type="dxa" w:w="1379"/>
            <w:tcW w:w="1379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February 2026</w:t>
            </w:r>
          </w:p>
        </w:tc>
        <w:tc>
          <w:tcPr>
            <w:tcW w:type="dxa" w:w="1971"/>
            <w:tcW w:w="1971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Systems Architect</w:t>
            </w:r>
          </w:p>
        </w:tc>
        <w:tc>
          <w:tcPr>
            <w:tcW w:type="dxa" w:w="3547"/>
            <w:tcW w:w="3547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Apache Fineract &amp; Spring Boot Monolith Alignment</w:t>
            </w:r>
          </w:p>
        </w:tc>
        <w:tc>
          <w:tcPr>
            <w:tcW w:type="dxa" w:w="1478"/>
            <w:tcW w:w="1478" w:type="dxa"/>
            <w:shd w:fill="F8FAFC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Approved</w:t>
            </w:r>
          </w:p>
        </w:tc>
      </w:tr>
      <w:tr>
        <w:trPr>
          <w:cantSplit/>
        </w:trPr>
        <w:tc>
          <w:tcPr>
            <w:tcW w:type="dxa" w:w="985"/>
            <w:tcW w:w="985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3.0.0</w:t>
            </w:r>
          </w:p>
        </w:tc>
        <w:tc>
          <w:tcPr>
            <w:tcW w:type="dxa" w:w="1379"/>
            <w:tcW w:w="1379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October 2026</w:t>
            </w:r>
          </w:p>
        </w:tc>
        <w:tc>
          <w:tcPr>
            <w:tcW w:type="dxa" w:w="1971"/>
            <w:tcW w:w="1971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Principal Auditor &amp; SRE Lead</w:t>
            </w:r>
          </w:p>
        </w:tc>
        <w:tc>
          <w:tcPr>
            <w:tcW w:type="dxa" w:w="3547"/>
            <w:tcW w:w="3547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Production Build Parity &amp; Zero-Trust Audit Release</w:t>
            </w:r>
          </w:p>
        </w:tc>
        <w:tc>
          <w:tcPr>
            <w:tcW w:type="dxa" w:w="1478"/>
            <w:tcW w:w="1478" w:type="dxa"/>
            <w:shd w:fill="FFFFFF"/>
            <w:tcMar>
              <w:top w:w="100" w:type="dxa"/>
              <w:bottom w:w="100" w:type="dxa"/>
              <w:left w:w="140" w:type="dxa"/>
              <w:right w:w="140" w:type="dxa"/>
            </w:tcMar>
            <w:tcBorders>
              <w:top w:val="single" w:sz="4" w:space="0" w:color="CBD5E0"/>
              <w:left w:val="single" w:sz="4" w:space="0" w:color="CBD5E0"/>
              <w:bottom w:val="single" w:sz="4" w:space="0" w:color="CBD5E0"/>
              <w:right w:val="single" w:sz="4" w:space="0" w:color="CBD5E0"/>
            </w:tcBorders>
          </w:tcPr>
          <w:p>
            <w:pPr>
              <w:spacing w:before="0" w:after="0"/>
            </w:pPr>
            <w:r>
              <w:rPr>
                <w:rFonts w:ascii="Segoe UI" w:hAnsi="Segoe UI"/>
                <w:color w:val="2D3748"/>
                <w:sz w:val="17"/>
              </w:rPr>
              <w:t>Master Approved</w:t>
            </w:r>
          </w:p>
        </w:tc>
      </w:tr>
      <w:tr>
        <w:tc>
          <w:tcPr>
            <w:tcW w:type="dxa" w:w="1872"/>
          </w:tcPr>
          <w:p>
            <w:r>
              <w:t>3.1.0</w:t>
            </w:r>
          </w:p>
        </w:tc>
        <w:tc>
          <w:tcPr>
            <w:tcW w:type="dxa" w:w="1872"/>
          </w:tcPr>
          <w:p>
            <w:r>
              <w:t>October 2026</w:t>
            </w:r>
          </w:p>
        </w:tc>
        <w:tc>
          <w:tcPr>
            <w:tcW w:type="dxa" w:w="1872"/>
          </w:tcPr>
          <w:p>
            <w:r>
              <w:t>Independent Forensic Re-audit</w:t>
            </w:r>
          </w:p>
        </w:tc>
        <w:tc>
          <w:tcPr>
            <w:tcW w:type="dxa" w:w="1872"/>
          </w:tcPr>
          <w:p>
            <w:r>
              <w:t>Factual corrections per audit/docx_forensic_audit_2026-10-08.md</w:t>
            </w:r>
          </w:p>
        </w:tc>
        <w:tc>
          <w:tcPr>
            <w:tcW w:type="dxa" w:w="1872"/>
          </w:tcPr>
          <w:p>
            <w:r>
              <w:t>Applied</w:t>
            </w:r>
          </w:p>
        </w:tc>
      </w:tr>
    </w:tbl>
    <w:p>
      <w:pPr>
        <w:spacing w:before="80" w:after="80"/>
      </w:pPr>
    </w:p>
    <w:p>
      <w:pPr>
        <w:spacing w:before="240" w:after="80"/>
      </w:pPr>
      <w:r>
        <w:rPr>
          <w:rFonts w:ascii="Segoe UI" w:hAnsi="Segoe UI"/>
          <w:b/>
          <w:color w:val="003366"/>
          <w:sz w:val="28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0F7FF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003366"/>
              <w:left w:val="single" w:sz="24" w:space="0" w:color="003366"/>
              <w:bottom w:val="single" w:sz="4" w:space="0" w:color="003366"/>
              <w:right w:val="single" w:sz="4" w:space="0" w:color="003366"/>
            </w:tcBorders>
          </w:tcPr>
          <w:p>
            <w:pPr>
              <w:spacing w:before="0" w:after="40"/>
            </w:pPr>
            <w:r>
              <w:rPr>
                <w:rFonts w:ascii="Segoe UI" w:hAnsi="Segoe UI"/>
                <w:b/>
                <w:color w:val="003366"/>
                <w:sz w:val="19"/>
              </w:rPr>
              <w:t xml:space="preserve">[NOTE]  </w:t>
            </w:r>
            <w:r>
              <w:rPr>
                <w:rFonts w:ascii="Segoe UI" w:hAnsi="Segoe UI"/>
                <w:color w:val="2D3748"/>
                <w:sz w:val="19"/>
              </w:rPr>
              <w:t>This document contains an automated Microsoft Word field. In Microsoft Word or LibreOffice, right-click this table and select 'Update Field' (or press F9) to refresh section page numbers.</w:t>
            </w:r>
          </w:p>
        </w:tc>
      </w:tr>
    </w:tbl>
    <w:p>
      <w:pPr>
        <w:spacing w:before="40" w:after="80"/>
      </w:pPr>
    </w:p>
    <w:p>
      <w:pPr>
        <w:spacing w:before="120" w:after="240"/>
      </w:pPr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1. Architectural Principles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All Staff Portal screens follow the </w:t>
      </w:r>
      <w:r>
        <w:rPr>
          <w:rFonts w:ascii="Segoe UI" w:hAnsi="Segoe UI"/>
          <w:b/>
          <w:color w:val="2D3748"/>
          <w:sz w:val="19"/>
        </w:rPr>
        <w:t>Dynamics 365 Enterprise Design Pattern</w:t>
      </w:r>
      <w:r>
        <w:rPr>
          <w:rFonts w:ascii="Segoe UI" w:hAnsi="Segoe UI"/>
          <w:color w:val="2D3748"/>
          <w:sz w:val="19"/>
        </w:rPr>
        <w:t>: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High data density ($32\text{px}$ compact row heights).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>Monospace font for monetary and account numbers (</w:t>
      </w:r>
      <w:r>
        <w:rPr>
          <w:rFonts w:ascii="Consolas" w:hAnsi="Consolas"/>
          <w:color w:val="801515"/>
          <w:sz w:val="18"/>
        </w:rPr>
        <w:t>font-mono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Dual language support (Bengali / English via </w:t>
      </w:r>
      <w:r>
        <w:rPr>
          <w:rFonts w:ascii="Consolas" w:hAnsi="Consolas"/>
          <w:color w:val="801515"/>
          <w:sz w:val="18"/>
        </w:rPr>
        <w:t>react-i18next</w:t>
      </w:r>
      <w:r>
        <w:rPr>
          <w:rFonts w:ascii="Segoe UI" w:hAnsi="Segoe UI"/>
          <w:color w:val="2D3748"/>
          <w:sz w:val="19"/>
        </w:rPr>
        <w:t>).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color w:val="003366"/>
          <w:sz w:val="19"/>
        </w:rPr>
        <w:t xml:space="preserve">•  </w:t>
      </w:r>
      <w:r>
        <w:rPr>
          <w:rFonts w:ascii="Segoe UI" w:hAnsi="Segoe UI"/>
          <w:color w:val="2D3748"/>
          <w:sz w:val="19"/>
        </w:rPr>
        <w:t xml:space="preserve">Keyboard shortcuts for rapid banking data entry (e.g. </w:t>
      </w:r>
      <w:r>
        <w:rPr>
          <w:rFonts w:ascii="Consolas" w:hAnsi="Consolas"/>
          <w:color w:val="801515"/>
          <w:sz w:val="18"/>
        </w:rPr>
        <w:t>Alt+A</w:t>
      </w:r>
      <w:r>
        <w:rPr>
          <w:rFonts w:ascii="Segoe UI" w:hAnsi="Segoe UI"/>
          <w:color w:val="2D3748"/>
          <w:sz w:val="19"/>
        </w:rPr>
        <w:t xml:space="preserve"> to Approve, </w:t>
      </w:r>
      <w:r>
        <w:rPr>
          <w:rFonts w:ascii="Consolas" w:hAnsi="Consolas"/>
          <w:color w:val="801515"/>
          <w:sz w:val="18"/>
        </w:rPr>
        <w:t>Alt+S</w:t>
      </w:r>
      <w:r>
        <w:rPr>
          <w:rFonts w:ascii="Segoe UI" w:hAnsi="Segoe UI"/>
          <w:color w:val="2D3748"/>
          <w:sz w:val="19"/>
        </w:rPr>
        <w:t xml:space="preserve"> to Save).</w:t>
      </w:r>
    </w:p>
    <w:p>
      <w:pPr>
        <w:keepNext/>
        <w:spacing w:before="200" w:after="60"/>
      </w:pPr>
      <w:r>
        <w:rPr>
          <w:rFonts w:ascii="Segoe UI" w:hAnsi="Segoe UI"/>
          <w:b/>
          <w:color w:val="1A365D"/>
          <w:sz w:val="24"/>
        </w:rPr>
        <w:t>2. Creating a New Banking Screen in 4 Steps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1. </w:t>
      </w:r>
      <w:r>
        <w:rPr>
          <w:rFonts w:ascii="Segoe UI" w:hAnsi="Segoe UI"/>
          <w:b/>
          <w:color w:val="2D3748"/>
          <w:sz w:val="19"/>
        </w:rPr>
        <w:t>Define RTK Query Endpoint: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</w:t>
      </w:r>
      <w:r>
        <w:rPr>
          <w:rFonts w:ascii="Consolas" w:hAnsi="Consolas"/>
          <w:color w:val="801515"/>
          <w:sz w:val="18"/>
        </w:rPr>
        <w:t>src/api/&lt;domain&gt;.ts (typed fetch hooks — the codebase uses no RTK Query/Zustand)</w:t>
      </w:r>
      <w:r>
        <w:rPr>
          <w:rFonts w:ascii="Segoe UI" w:hAnsi="Segoe UI"/>
          <w:color w:val="2D3748"/>
          <w:sz w:val="19"/>
        </w:rPr>
        <w:t xml:space="preserve">, add query hook </w:t>
      </w:r>
      <w:r>
        <w:rPr>
          <w:rFonts w:ascii="Consolas" w:hAnsi="Consolas"/>
          <w:color w:val="801515"/>
          <w:sz w:val="18"/>
        </w:rPr>
        <w:t>useGetCreditAssessmentQuery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2. </w:t>
      </w:r>
      <w:r>
        <w:rPr>
          <w:rFonts w:ascii="Segoe UI" w:hAnsi="Segoe UI"/>
          <w:b/>
          <w:color w:val="2D3748"/>
          <w:sz w:val="19"/>
        </w:rPr>
        <w:t>Create Page Component: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</w:t>
      </w:r>
      <w:r>
        <w:rPr>
          <w:rFonts w:ascii="Consolas" w:hAnsi="Consolas"/>
          <w:color w:val="801515"/>
          <w:sz w:val="18"/>
        </w:rPr>
        <w:t>src/features/&lt;domain&gt;/&lt;Domain&gt;Page.tsx (feature-folder convention)</w:t>
      </w:r>
      <w:r>
        <w:rPr>
          <w:rFonts w:ascii="Segoe UI" w:hAnsi="Segoe UI"/>
          <w:color w:val="2D3748"/>
          <w:sz w:val="19"/>
        </w:rPr>
        <w:t xml:space="preserve">, construct layout with </w:t>
      </w:r>
      <w:r>
        <w:rPr>
          <w:rFonts w:ascii="Consolas" w:hAnsi="Consolas"/>
          <w:color w:val="801515"/>
          <w:sz w:val="18"/>
        </w:rPr>
        <w:t>DynamicsHeader</w:t>
      </w:r>
      <w:r>
        <w:rPr>
          <w:rFonts w:ascii="Segoe UI" w:hAnsi="Segoe UI"/>
          <w:color w:val="2D3748"/>
          <w:sz w:val="19"/>
        </w:rPr>
        <w:t xml:space="preserve">, </w:t>
      </w:r>
      <w:r>
        <w:rPr>
          <w:rFonts w:ascii="Consolas" w:hAnsi="Consolas"/>
          <w:color w:val="801515"/>
          <w:sz w:val="18"/>
        </w:rPr>
        <w:t>KpiBanner</w:t>
      </w:r>
      <w:r>
        <w:rPr>
          <w:rFonts w:ascii="Segoe UI" w:hAnsi="Segoe UI"/>
          <w:color w:val="2D3748"/>
          <w:sz w:val="19"/>
        </w:rPr>
        <w:t xml:space="preserve">, and </w:t>
      </w:r>
      <w:r>
        <w:rPr>
          <w:rFonts w:ascii="Consolas" w:hAnsi="Consolas"/>
          <w:color w:val="801515"/>
          <w:sz w:val="18"/>
        </w:rPr>
        <w:t>MuiDataGrid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3. </w:t>
      </w:r>
      <w:r>
        <w:rPr>
          <w:rFonts w:ascii="Segoe UI" w:hAnsi="Segoe UI"/>
          <w:b/>
          <w:color w:val="2D3748"/>
          <w:sz w:val="19"/>
        </w:rPr>
        <w:t>Register Route: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In </w:t>
      </w:r>
      <w:r>
        <w:rPr>
          <w:rFonts w:ascii="Consolas" w:hAnsi="Consolas"/>
          <w:color w:val="801515"/>
          <w:sz w:val="18"/>
        </w:rPr>
        <w:t>src/app/routes.tsx</w:t>
      </w:r>
      <w:r>
        <w:rPr>
          <w:rFonts w:ascii="Segoe UI" w:hAnsi="Segoe UI"/>
          <w:color w:val="2D3748"/>
          <w:sz w:val="19"/>
        </w:rPr>
        <w:t xml:space="preserve">, mount route </w:t>
      </w:r>
      <w:r>
        <w:rPr>
          <w:rFonts w:ascii="Consolas" w:hAnsi="Consolas"/>
          <w:color w:val="801515"/>
          <w:sz w:val="18"/>
        </w:rPr>
        <w:t>/credit/scorecards/:id</w:t>
      </w:r>
      <w:r>
        <w:rPr>
          <w:rFonts w:ascii="Segoe UI" w:hAnsi="Segoe UI"/>
          <w:color w:val="2D3748"/>
          <w:sz w:val="19"/>
        </w:rPr>
        <w:t xml:space="preserve"> protected by </w:t>
      </w:r>
      <w:r>
        <w:rPr>
          <w:rFonts w:ascii="Consolas" w:hAnsi="Consolas"/>
          <w:color w:val="801515"/>
          <w:sz w:val="18"/>
        </w:rPr>
        <w:t>RequireRole(['credit-analyst'])</w:t>
      </w:r>
      <w:r>
        <w:rPr>
          <w:rFonts w:ascii="Segoe UI" w:hAnsi="Segoe UI"/>
          <w:color w:val="2D3748"/>
          <w:sz w:val="19"/>
        </w:rPr>
        <w:t>.</w:t>
      </w:r>
    </w:p>
    <w:p>
      <w:pPr>
        <w:spacing w:before="0" w:after="40" w:line="276" w:lineRule="auto"/>
        <w:ind w:left="360"/>
      </w:pPr>
      <w:r>
        <w:rPr>
          <w:rFonts w:ascii="Segoe UI" w:hAnsi="Segoe UI"/>
          <w:b/>
          <w:color w:val="003366"/>
          <w:sz w:val="19"/>
        </w:rPr>
        <w:t xml:space="preserve">4. </w:t>
      </w:r>
      <w:r>
        <w:rPr>
          <w:rFonts w:ascii="Segoe UI" w:hAnsi="Segoe UI"/>
          <w:b/>
          <w:color w:val="2D3748"/>
          <w:sz w:val="19"/>
        </w:rPr>
        <w:t>Add Navigation Tile:</w:t>
      </w:r>
    </w:p>
    <w:p>
      <w:pPr>
        <w:spacing w:before="0" w:after="80" w:line="276" w:lineRule="auto"/>
      </w:pPr>
      <w:r>
        <w:rPr>
          <w:rFonts w:ascii="Segoe UI" w:hAnsi="Segoe UI"/>
          <w:color w:val="2D3748"/>
          <w:sz w:val="19"/>
        </w:rPr>
        <w:t xml:space="preserve">Add entry to </w:t>
      </w:r>
      <w:r>
        <w:rPr>
          <w:rFonts w:ascii="Consolas" w:hAnsi="Consolas"/>
          <w:color w:val="801515"/>
          <w:sz w:val="18"/>
        </w:rPr>
        <w:t>src/shell/navData.ts</w:t>
      </w:r>
      <w:r>
        <w:rPr>
          <w:rFonts w:ascii="Segoe UI" w:hAnsi="Segoe UI"/>
          <w:color w:val="2D3748"/>
          <w:sz w:val="19"/>
        </w:rPr>
        <w:t xml:space="preserve"> under Origination Subsystem.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18897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05_customer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1889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2: High-Density MUI DataGrid Custom Entity Grid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Compact banking data grid with monospace currency formatting and instant filtering.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AFAFA"/>
            <w:tcMar>
              <w:top w:w="120" w:type="dxa"/>
              <w:bottom w:w="120" w:type="dxa"/>
              <w:left w:w="120" w:type="dxa"/>
              <w:right w:w="120" w:type="dxa"/>
            </w:tcMar>
            <w:tcBorders>
              <w:top w:val="single" w:sz="8" w:space="0" w:color="CBD5E0"/>
              <w:left w:val="single" w:sz="8" w:space="0" w:color="CBD5E0"/>
              <w:bottom w:val="single" w:sz="8" w:space="0" w:color="CBD5E0"/>
              <w:right w:val="single" w:sz="8" w:space="0" w:color="CBD5E0"/>
            </w:tcBorders>
          </w:tcPr>
          <w:p>
            <w:pPr>
              <w:spacing w:before="8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669280" cy="3543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cust360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928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spacing w:before="60" w:after="20"/>
        <w:jc w:val="center"/>
      </w:pPr>
      <w:r>
        <w:rPr>
          <w:rFonts w:ascii="Segoe UI" w:hAnsi="Segoe UI"/>
          <w:b/>
          <w:color w:val="003366"/>
          <w:sz w:val="18"/>
        </w:rPr>
        <w:t>Figure 3: Custom Banking Form Layout with Live Scorecard Banner</w:t>
      </w:r>
    </w:p>
    <w:p>
      <w:pPr>
        <w:spacing w:before="0" w:after="160"/>
        <w:jc w:val="center"/>
      </w:pPr>
      <w:r>
        <w:rPr>
          <w:rFonts w:ascii="Segoe UI" w:hAnsi="Segoe UI"/>
          <w:i/>
          <w:color w:val="718096"/>
          <w:sz w:val="16"/>
        </w:rPr>
        <w:t>Standardized enterprise card widgets displaying customer credit scoring metrics.</w:t>
      </w:r>
    </w:p>
    <w:p>
      <w:r>
        <w:rPr>
          <w:b/>
        </w:rPr>
        <w:t>Addendum — v3.1.0 corrections (Independent Forensic Re-audit, 8 October 2026)</w:t>
      </w:r>
    </w:p>
    <w:p>
      <w:r>
        <w:t>Frontend truth (v3.1.0): the web app is plain typed-fetch React 19 (no Redux/RTK Query/TanStack/Zustand); feature code lives under src/features/&lt;domain&gt;/ with navigation declared in src/shell/navData.ts and routes in src/app. Role keys are the seeded realm roles (e.g. credit-analyst).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right"/>
    </w:pPr>
    <w:r>
      <w:rPr>
        <w:rFonts w:ascii="Segoe UI" w:hAnsi="Segoe UI"/>
        <w:color w:val="718096"/>
        <w:sz w:val="17"/>
      </w:rPr>
      <w:t xml:space="preserve">Unisoft Systems Limited · Institutional Banking Asset         </w:t>
    </w:r>
    <w:r>
      <w:rPr>
        <w:rFonts w:ascii="Segoe UI" w:hAnsi="Segoe UI"/>
        <w:color w:val="2D3748"/>
        <w:sz w:val="17"/>
      </w:rPr>
      <w:t xml:space="preserve">Page </w:t>
      <w:fldChar w:fldCharType="begin"/>
      <w:instrText xml:space="preserve"> PAGE </w:instrText>
      <w:fldChar w:fldCharType="separate"/>
      <w:fldChar w:fldCharType="end"/>
    </w:r>
    <w:r>
      <w:rPr>
        <w:rFonts w:ascii="Segoe UI" w:hAnsi="Segoe UI"/>
        <w:color w:val="2D3748"/>
        <w:sz w:val="17"/>
      </w:rPr>
      <w:t xml:space="preserve"> of </w:t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</w:pPr>
    <w:r>
      <w:rPr>
        <w:rFonts w:ascii="Segoe UI" w:hAnsi="Segoe UI"/>
        <w:color w:val="718096"/>
        <w:sz w:val="17"/>
      </w:rPr>
      <w:t xml:space="preserve">ULMS v2.0 · DOC-05-EXT-05  |  </w:t>
    </w:r>
    <w:r>
      <w:rPr>
        <w:rFonts w:ascii="Segoe UI" w:hAnsi="Segoe UI"/>
        <w:b/>
        <w:color w:val="C53030"/>
        <w:sz w:val="17"/>
      </w:rPr>
      <w:t>RESTRICTED — BANK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