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3366"/>
            <w:tcMar>
              <w:top w:w="260" w:type="dxa"/>
              <w:bottom w:w="260" w:type="dxa"/>
              <w:left w:w="300" w:type="dxa"/>
              <w:right w:w="300" w:type="dxa"/>
            </w:tcMar>
            <w:tcBorders>
              <w:top w:val="single" w:sz="6" w:space="0" w:color="003366"/>
              <w:left w:val="single" w:sz="24" w:space="0" w:color="D4AF37"/>
              <w:bottom w:val="single" w:sz="18" w:space="0" w:color="D4AF37"/>
              <w:right w:val="single" w:sz="6" w:space="0" w:color="003366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D4AF37"/>
                <w:sz w:val="19"/>
              </w:rPr>
              <w:t>UNISOFT LOAN MANAGEMENT SYSTEM (ULMS v2.0) · 05 DEVELOPER EXTENSION</w:t>
              <w:br/>
            </w:r>
            <w:r>
              <w:rPr>
                <w:rFonts w:ascii="Segoe UI" w:hAnsi="Segoe UI"/>
                <w:b/>
                <w:color w:val="FFFFFF"/>
                <w:sz w:val="34"/>
              </w:rPr>
              <w:t>DOC-05-EXT-06: Expo React Native Field Mobility App Extension &amp; Offline SQLite Sync Guide</w:t>
              <w:br/>
            </w:r>
            <w:r>
              <w:rPr>
                <w:rFonts w:ascii="Segoe UI" w:hAnsi="Segoe UI"/>
                <w:i/>
                <w:color w:val="CBD5E0"/>
                <w:sz w:val="17"/>
              </w:rPr>
              <w:t>Document ID: DOC-05-EXT-06  ·  Standard: Diátaxis / C4 Model  ·  Bangladesh Bank Compliant</w:t>
            </w:r>
          </w:p>
        </w:tc>
      </w:tr>
    </w:tbl>
    <w:p>
      <w:pPr>
        <w:spacing w:before="80" w:after="80"/>
      </w:pP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type: how-to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topic: expo_react_native_offline_sync_extension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target_audience: [mobile_developer, field_operations_team]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version: 2026.10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document_id: DOC-05-EXT-06</w:t>
      </w:r>
    </w:p>
    <w:p>
      <w:pPr>
        <w:keepNext/>
        <w:spacing w:before="280" w:after="80"/>
      </w:pPr>
      <w:r>
        <w:rPr>
          <w:rFonts w:ascii="Segoe UI" w:hAnsi="Segoe UI"/>
          <w:b/>
          <w:color w:val="003366"/>
          <w:sz w:val="29"/>
        </w:rPr>
        <w:t>DOC-05-EXT-06: Expo React Native Field Mobility App Extension &amp; Offline SQLite Sync Guide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1 below, Expo React Native interface optimized for field verification and recovery officers.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425196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_mobil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4251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1: Field Mobility Mobile App &amp; Officer Dashboard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Expo React Native interface optimized for field verification and recovery officers.</w:t>
      </w:r>
    </w:p>
    <w:p>
      <w:pPr>
        <w:spacing w:before="0" w:after="80" w:line="276" w:lineRule="auto"/>
      </w:pPr>
      <w:r>
        <w:rPr>
          <w:rFonts w:ascii="Segoe UI" w:hAnsi="Segoe UI"/>
          <w:b/>
          <w:color w:val="2D3748"/>
          <w:sz w:val="19"/>
        </w:rPr>
        <w:t>Document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Field</w:t>
            </w:r>
          </w:p>
        </w:tc>
        <w:tc>
          <w:tcPr>
            <w:tcW w:type="dxa" w:w="4680"/>
            <w:tcW w:w="4680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Title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Field Mobility App Extension &amp; Offline Sync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Project Name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Unisoft Loan Management System (ULMS v2.0)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Document Version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Date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2026-10-07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Classification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Mobile Developer Guide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Status</w:t>
            </w:r>
          </w:p>
        </w:tc>
        <w:tc>
          <w:tcPr>
            <w:tcW w:type="dxa" w:w="4680"/>
            <w:tcW w:w="4680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 Master Specification</w:t>
            </w:r>
          </w:p>
        </w:tc>
      </w:tr>
      <w:tr>
        <w:trPr>
          <w:cantSplit/>
        </w:trPr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2D3748"/>
                <w:sz w:val="17"/>
              </w:rPr>
              <w:t>Authority Chain</w:t>
            </w:r>
          </w:p>
        </w:tc>
        <w:tc>
          <w:tcPr>
            <w:tcW w:type="dxa" w:w="4680"/>
            <w:tcW w:w="4680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 xml:space="preserve">Expo SDK 54+ → </w:t>
            </w:r>
            <w:r>
              <w:rPr>
                <w:rFonts w:ascii="Consolas" w:hAnsi="Consolas"/>
                <w:color w:val="801515"/>
                <w:sz w:val="16"/>
              </w:rPr>
              <w:t>apps/mobile/src/sync/engine.ts</w:t>
            </w:r>
          </w:p>
        </w:tc>
      </w:tr>
    </w:tbl>
    <w:p>
      <w:pPr>
        <w:spacing w:before="80" w:after="80"/>
      </w:pPr>
    </w:p>
    <w:p>
      <w:pPr>
        <w:spacing w:before="160" w:after="40"/>
      </w:pPr>
      <w:r>
        <w:rPr>
          <w:rFonts w:ascii="Segoe UI" w:hAnsi="Segoe UI"/>
          <w:b/>
          <w:color w:val="1A365D"/>
          <w:sz w:val="22"/>
        </w:rPr>
        <w:t>Document Revision History &amp; Institutional Sign-Off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985"/>
            <w:tcW w:w="985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1379"/>
            <w:tcW w:w="1379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Release Date</w:t>
            </w:r>
          </w:p>
        </w:tc>
        <w:tc>
          <w:tcPr>
            <w:tcW w:type="dxa" w:w="1971"/>
            <w:tcW w:w="1971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Author / Role</w:t>
            </w:r>
          </w:p>
        </w:tc>
        <w:tc>
          <w:tcPr>
            <w:tcW w:type="dxa" w:w="3547"/>
            <w:tcW w:w="3547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Summary of Technical Changes</w:t>
            </w:r>
          </w:p>
        </w:tc>
        <w:tc>
          <w:tcPr>
            <w:tcW w:type="dxa" w:w="1478"/>
            <w:tcW w:w="1478" w:type="dxa"/>
            <w:shd w:fill="003366"/>
            <w:tcMar>
              <w:top w:w="140" w:type="dxa"/>
              <w:bottom w:w="140" w:type="dxa"/>
              <w:left w:w="160" w:type="dxa"/>
              <w:right w:w="160" w:type="dxa"/>
            </w:tcMar>
            <w:tcBorders>
              <w:top w:val="single" w:sz="4" w:space="0" w:color="CBD5E0"/>
              <w:left w:val="single" w:sz="4" w:space="0" w:color="CBD5E0"/>
              <w:bottom w:val="single" w:sz="12" w:space="0" w:color="D4AF37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b/>
                <w:color w:val="FFFFFF"/>
                <w:sz w:val="18"/>
              </w:rPr>
              <w:t>Status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1.0.0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January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Documentation Core Team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Initial BRD &amp; Architecture Specification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Draft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2.0.0</w:t>
            </w:r>
          </w:p>
        </w:tc>
        <w:tc>
          <w:tcPr>
            <w:tcW w:type="dxa" w:w="1379"/>
            <w:tcW w:w="1379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February 2026</w:t>
            </w:r>
          </w:p>
        </w:tc>
        <w:tc>
          <w:tcPr>
            <w:tcW w:type="dxa" w:w="1971"/>
            <w:tcW w:w="1971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Systems Architect</w:t>
            </w:r>
          </w:p>
        </w:tc>
        <w:tc>
          <w:tcPr>
            <w:tcW w:type="dxa" w:w="3547"/>
            <w:tcW w:w="3547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Apache Fineract &amp; Spring Boot Monolith Alignment</w:t>
            </w:r>
          </w:p>
        </w:tc>
        <w:tc>
          <w:tcPr>
            <w:tcW w:type="dxa" w:w="1478"/>
            <w:tcW w:w="1478" w:type="dxa"/>
            <w:shd w:fill="F8FAFC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Approved</w:t>
            </w:r>
          </w:p>
        </w:tc>
      </w:tr>
      <w:tr>
        <w:trPr>
          <w:cantSplit/>
        </w:trPr>
        <w:tc>
          <w:tcPr>
            <w:tcW w:type="dxa" w:w="985"/>
            <w:tcW w:w="985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3.0.0</w:t>
            </w:r>
          </w:p>
        </w:tc>
        <w:tc>
          <w:tcPr>
            <w:tcW w:type="dxa" w:w="1379"/>
            <w:tcW w:w="1379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October 2026</w:t>
            </w:r>
          </w:p>
        </w:tc>
        <w:tc>
          <w:tcPr>
            <w:tcW w:type="dxa" w:w="1971"/>
            <w:tcW w:w="1971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Principal Auditor &amp; SRE Lead</w:t>
            </w:r>
          </w:p>
        </w:tc>
        <w:tc>
          <w:tcPr>
            <w:tcW w:type="dxa" w:w="3547"/>
            <w:tcW w:w="3547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Production Build Parity &amp; Zero-Trust Audit Release</w:t>
            </w:r>
          </w:p>
        </w:tc>
        <w:tc>
          <w:tcPr>
            <w:tcW w:type="dxa" w:w="1478"/>
            <w:tcW w:w="1478" w:type="dxa"/>
            <w:shd w:fill="FFFFFF"/>
            <w:tcMar>
              <w:top w:w="100" w:type="dxa"/>
              <w:bottom w:w="100" w:type="dxa"/>
              <w:left w:w="140" w:type="dxa"/>
              <w:right w:w="140" w:type="dxa"/>
            </w:tcMar>
            <w:tcBorders>
              <w:top w:val="single" w:sz="4" w:space="0" w:color="CBD5E0"/>
              <w:left w:val="single" w:sz="4" w:space="0" w:color="CBD5E0"/>
              <w:bottom w:val="single" w:sz="4" w:space="0" w:color="CBD5E0"/>
              <w:right w:val="single" w:sz="4" w:space="0" w:color="CBD5E0"/>
            </w:tcBorders>
          </w:tcPr>
          <w:p>
            <w:pPr>
              <w:spacing w:before="0" w:after="0"/>
            </w:pPr>
            <w:r>
              <w:rPr>
                <w:rFonts w:ascii="Segoe UI" w:hAnsi="Segoe UI"/>
                <w:color w:val="2D3748"/>
                <w:sz w:val="17"/>
              </w:rPr>
              <w:t>Master Approved</w:t>
            </w:r>
          </w:p>
        </w:tc>
      </w:tr>
      <w:tr>
        <w:tc>
          <w:tcPr>
            <w:tcW w:type="dxa" w:w="1872"/>
          </w:tcPr>
          <w:p>
            <w:r>
              <w:t>3.1.0</w:t>
            </w:r>
          </w:p>
        </w:tc>
        <w:tc>
          <w:tcPr>
            <w:tcW w:type="dxa" w:w="1872"/>
          </w:tcPr>
          <w:p>
            <w:r>
              <w:t>October 2026</w:t>
            </w:r>
          </w:p>
        </w:tc>
        <w:tc>
          <w:tcPr>
            <w:tcW w:type="dxa" w:w="1872"/>
          </w:tcPr>
          <w:p>
            <w:r>
              <w:t>Independent Forensic Re-audit</w:t>
            </w:r>
          </w:p>
        </w:tc>
        <w:tc>
          <w:tcPr>
            <w:tcW w:type="dxa" w:w="1872"/>
          </w:tcPr>
          <w:p>
            <w:r>
              <w:t>Factual corrections per audit/docx_forensic_audit_2026-10-08.md</w:t>
            </w:r>
          </w:p>
        </w:tc>
        <w:tc>
          <w:tcPr>
            <w:tcW w:type="dxa" w:w="1872"/>
          </w:tcPr>
          <w:p>
            <w:r>
              <w:t>Applied</w:t>
            </w:r>
          </w:p>
        </w:tc>
      </w:tr>
    </w:tbl>
    <w:p>
      <w:pPr>
        <w:spacing w:before="80" w:after="80"/>
      </w:pPr>
    </w:p>
    <w:p>
      <w:pPr>
        <w:spacing w:before="240" w:after="80"/>
      </w:pPr>
      <w:r>
        <w:rPr>
          <w:rFonts w:ascii="Segoe UI" w:hAnsi="Segoe UI"/>
          <w:b/>
          <w:color w:val="003366"/>
          <w:sz w:val="28"/>
        </w:rPr>
        <w:t>Table of Contents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7FF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003366"/>
              <w:left w:val="single" w:sz="24" w:space="0" w:color="003366"/>
              <w:bottom w:val="single" w:sz="4" w:space="0" w:color="003366"/>
              <w:right w:val="single" w:sz="4" w:space="0" w:color="003366"/>
            </w:tcBorders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003366"/>
                <w:sz w:val="19"/>
              </w:rPr>
              <w:t xml:space="preserve">[NOTE]  </w:t>
            </w:r>
            <w:r>
              <w:rPr>
                <w:rFonts w:ascii="Segoe UI" w:hAnsi="Segoe UI"/>
                <w:color w:val="2D3748"/>
                <w:sz w:val="19"/>
              </w:rPr>
              <w:t>This document contains an automated Microsoft Word field. In Microsoft Word or LibreOffice, right-click this table and select 'Update Field' (or press F9) to refresh section page numbers.</w:t>
            </w:r>
          </w:p>
        </w:tc>
      </w:tr>
    </w:tbl>
    <w:p>
      <w:pPr>
        <w:spacing w:before="40" w:after="80"/>
      </w:pPr>
    </w:p>
    <w:p>
      <w:pPr>
        <w:spacing w:before="120" w:after="240"/>
      </w:pPr>
      <w:r>
        <w:fldChar w:fldCharType="begin"/>
        <w:instrText xml:space="preserve"> TOC \o "1-3" \h \z \u </w:instrText>
        <w:fldChar w:fldCharType="separate"/>
        <w:fldChar w:fldCharType="end"/>
      </w:r>
    </w:p>
    <w:p>
      <w:r>
        <w:br w:type="page"/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1. Field Operations in Rural Bangladesh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Field recovery and loan verification officers operate in remote rural upazilas where 4G cellular connectivity is intermittent or unavailable. The mobile app must operate 100% offline using local encrypted SQLite.</w:t>
      </w:r>
    </w:p>
    <w:p>
      <w:pPr>
        <w:keepNext/>
        <w:spacing w:before="200" w:after="60"/>
      </w:pPr>
      <w:r>
        <w:rPr>
          <w:rFonts w:ascii="Segoe UI" w:hAnsi="Segoe UI"/>
          <w:b/>
          <w:color w:val="1A365D"/>
          <w:sz w:val="24"/>
        </w:rPr>
        <w:t>2. Offline Sync Engine Protocol</w:t>
      </w:r>
    </w:p>
    <w:p>
      <w:pPr>
        <w:spacing w:before="0" w:after="80" w:line="276" w:lineRule="auto"/>
      </w:pPr>
      <w:r>
        <w:rPr>
          <w:rFonts w:ascii="Segoe UI" w:hAnsi="Segoe UI"/>
          <w:color w:val="2D3748"/>
          <w:sz w:val="19"/>
        </w:rPr>
        <w:t>As illustrated in Figure 3 below, GPS boundary verification and route tracking synchronized upon network recovery.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_field_map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3: Geo-Tagged Borrower Location &amp; Field Recovery Map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GPS boundary verification and route tracking synchronized upon network recovery.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20" w:type="dxa"/>
              <w:bottom w:w="120" w:type="dxa"/>
              <w:left w:w="180" w:type="dxa"/>
              <w:right w:w="180" w:type="dxa"/>
            </w:tcMar>
            <w:tcBorders>
              <w:top w:val="single" w:sz="6" w:space="0" w:color="CBD5E0"/>
              <w:left w:val="single" w:sz="6" w:space="0" w:color="CBD5E0"/>
              <w:bottom w:val="single" w:sz="6" w:space="0" w:color="CBD5E0"/>
              <w:right w:val="single" w:sz="6" w:space="0" w:color="CBD5E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b/>
                <w:color w:val="718096"/>
                <w:sz w:val="16"/>
              </w:rPr>
              <w:t>// Language: mermaid</w:t>
              <w:br/>
            </w:r>
            <w:r>
              <w:rPr>
                <w:rFonts w:ascii="Consolas" w:hAnsi="Consolas"/>
                <w:color w:val="1A202C"/>
                <w:sz w:val="17"/>
              </w:rPr>
              <w:t>[MERMAID ARCHITECTURE SPECIFICATION]</w:t>
              <w:br/>
              <w:t>sequenceDiagram</w:t>
              <w:br/>
              <w:t xml:space="preserve">    participant Officer as Field Officer (Offline)</w:t>
              <w:br/>
              <w:t xml:space="preserve">    participant LocalDB as Encrypted SQLite / MMKV</w:t>
              <w:br/>
              <w:t xml:space="preserve">    participant SyncEngine as `apps/mobile/src/sync/engine.ts`</w:t>
              <w:br/>
              <w:t xml:space="preserve">    participant Server as ULMS Field Gateway API</w:t>
              <w:br/>
              <w:br/>
              <w:t xml:space="preserve">    Officer-&gt;&gt;LocalDB: Record CPV Inspection / Collect Cash</w:t>
              <w:br/>
              <w:t xml:space="preserve">    LocalDB--&gt;&gt;Officer: Saved locally with offline UUID</w:t>
              <w:br/>
              <w:t xml:space="preserve">    Note over Officer,LocalDB: Device returns to branch Wi-Fi / 4G coverage</w:t>
              <w:br/>
              <w:t xml:space="preserve">    SyncEngine-&gt;&gt;Server: POST /api/v1/field/sync (Batch Mutations)</w:t>
              <w:br/>
              <w:t xml:space="preserve">    Server--&gt;&gt;SyncEngine: 200 OK (Confirmed Server IDs &amp; Ack)</w:t>
              <w:br/>
              <w:t xml:space="preserve">    SyncEngine-&gt;&gt;LocalDB: Mark rows as SYNCED</w:t>
            </w:r>
          </w:p>
        </w:tc>
      </w:tr>
    </w:tbl>
    <w:p>
      <w:pPr>
        <w:spacing w:before="40"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AFAFA"/>
            <w:tcMar>
              <w:top w:w="120" w:type="dxa"/>
              <w:bottom w:w="120" w:type="dxa"/>
              <w:left w:w="120" w:type="dxa"/>
              <w:right w:w="120" w:type="dxa"/>
            </w:tcMar>
            <w:tcBorders>
              <w:top w:val="single" w:sz="8" w:space="0" w:color="CBD5E0"/>
              <w:left w:val="single" w:sz="8" w:space="0" w:color="CBD5E0"/>
              <w:bottom w:val="single" w:sz="8" w:space="0" w:color="CBD5E0"/>
              <w:right w:val="single" w:sz="8" w:space="0" w:color="CBD5E0"/>
            </w:tcBorders>
          </w:tcPr>
          <w:p>
            <w:pPr>
              <w:spacing w:before="80" w:after="8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669280" cy="318897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_field_cpv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9280" cy="31889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60" w:after="20"/>
        <w:jc w:val="center"/>
      </w:pPr>
      <w:r>
        <w:rPr>
          <w:rFonts w:ascii="Segoe UI" w:hAnsi="Segoe UI"/>
          <w:b/>
          <w:color w:val="003366"/>
          <w:sz w:val="18"/>
        </w:rPr>
        <w:t>Figure 2: Customer Physical Verification (CPV) Offline Data Entry</w:t>
      </w:r>
    </w:p>
    <w:p>
      <w:pPr>
        <w:spacing w:before="0" w:after="160"/>
        <w:jc w:val="center"/>
      </w:pPr>
      <w:r>
        <w:rPr>
          <w:rFonts w:ascii="Segoe UI" w:hAnsi="Segoe UI"/>
          <w:i/>
          <w:color w:val="718096"/>
          <w:sz w:val="16"/>
        </w:rPr>
        <w:t>Offline data collection form storing CPV records in local encrypted SQLite.</w:t>
      </w:r>
    </w:p>
    <w:p>
      <w:r>
        <w:rPr>
          <w:b/>
        </w:rPr>
        <w:t>Addendum — v3.1.0 corrections (Independent Forensic Re-audit, 8 October 2026)</w:t>
      </w:r>
    </w:p>
    <w:p>
      <w:r>
        <w:t>Expansion pending (flagged): catalog-promised sections (SQLite schema extension, MMKV queue internals, camera/geo-tagging, EAS build profiles) not yet authored; the offline sync engine reference (apps/mobile/src/sync/engine.ts) is real and authoritative.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right"/>
    </w:pPr>
    <w:r>
      <w:rPr>
        <w:rFonts w:ascii="Segoe UI" w:hAnsi="Segoe UI"/>
        <w:color w:val="718096"/>
        <w:sz w:val="17"/>
      </w:rPr>
      <w:t xml:space="preserve">Unisoft Systems Limited · Institutional Banking Asset         </w:t>
    </w:r>
    <w:r>
      <w:rPr>
        <w:rFonts w:ascii="Segoe UI" w:hAnsi="Segoe UI"/>
        <w:color w:val="2D3748"/>
        <w:sz w:val="17"/>
      </w:rPr>
      <w:t xml:space="preserve">Page </w:t>
      <w:fldChar w:fldCharType="begin"/>
      <w:instrText xml:space="preserve"> PAGE </w:instrText>
      <w:fldChar w:fldCharType="separate"/>
      <w:fldChar w:fldCharType="end"/>
    </w:r>
    <w:r>
      <w:rPr>
        <w:rFonts w:ascii="Segoe UI" w:hAnsi="Segoe UI"/>
        <w:color w:val="2D3748"/>
        <w:sz w:val="17"/>
      </w:rPr>
      <w:t xml:space="preserve"> of </w:t>
      <w:fldChar w:fldCharType="begin"/>
      <w:instrText xml:space="preserve"> NUMPAGES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jc w:val="right"/>
    </w:pPr>
    <w:r>
      <w:rPr>
        <w:rFonts w:ascii="Segoe UI" w:hAnsi="Segoe UI"/>
        <w:color w:val="718096"/>
        <w:sz w:val="17"/>
      </w:rPr>
      <w:t xml:space="preserve">ULMS v2.0 · DOC-05-EXT-06  |  </w:t>
    </w:r>
    <w:r>
      <w:rPr>
        <w:rFonts w:ascii="Segoe UI" w:hAnsi="Segoe UI"/>
        <w:b/>
        <w:color w:val="C53030"/>
        <w:sz w:val="17"/>
      </w:rPr>
      <w:t>RESTRICTED — BANK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