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05 DEVELOPER EXTENSION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DOC-05-EXT-07: Bangladesh Bank Regulatory Return XML/CSV Generation Extension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DOC-05-EXT-07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regulatory_return_xml_csv_generation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[backend_developer, compliance_developer, reporting_analyst]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DOC-05-EXT-07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DOC-05-EXT-07: Bangladesh Bank Regulatory Return XML/CSV Generation Extension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Central reporting hub for scheduled commercial bank statutory returns.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report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Bangladesh Bank Regulatory Returns &amp; MIS Reporting Center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Central reporting hub for scheduled commercial bank statutory returns.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Regulatory Return XML/CSV Generation Extension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Statutory Developer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Regcon Guidelines → BRPD Circular 15/2024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Regulatory Reporting Architecture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Bangladesh Bank mandates quarterly and monthly returns in strict XML and CSV formats (SBS-1, SBS-2, SBS-3, CIB Monthly, and BRPD CL-1 to CL-5).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ULMS provides the </w:t>
      </w:r>
      <w:r>
        <w:rPr>
          <w:rFonts w:ascii="Consolas" w:hAnsi="Consolas"/>
          <w:color w:val="801515"/>
          <w:sz w:val="18"/>
        </w:rPr>
        <w:t>RegulatoryReportBuilder</w:t>
      </w:r>
      <w:r>
        <w:rPr>
          <w:rFonts w:ascii="Segoe UI" w:hAnsi="Segoe UI"/>
          <w:color w:val="2D3748"/>
          <w:sz w:val="19"/>
        </w:rPr>
        <w:t xml:space="preserve"> interface: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>package com.uslbd.ulms.compliance.reports;</w:t>
              <w:br/>
              <w:br/>
              <w:t>public interface RegulatoryReportBuilder {</w:t>
              <w:br/>
              <w:t xml:space="preserve">    ReportMetadata getMetadata();</w:t>
              <w:br/>
              <w:t xml:space="preserve">    byte[] generateReport(LocalDate reportingPeriod, ReportFormat format);</w:t>
              <w:br/>
              <w:t xml:space="preserve">    ValidationResult validateAgainstXsd(byte[] payload);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Adding a New Return (e.g. the SBS-3 Scheduled Bank Statistics return)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Real-time aggregation of loan portfolios into BRPD Circular 15/2024 CL tables.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bbr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Statutory 7-Stage Classification Reporting Board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Real-time aggregation of loan portfolios into BRPD Circular 15/2024 CL tables.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 xml:space="preserve">Implement </w:t>
      </w:r>
      <w:r>
        <w:rPr>
          <w:rFonts w:ascii="Consolas" w:hAnsi="Consolas"/>
          <w:color w:val="801515"/>
          <w:sz w:val="18"/>
        </w:rPr>
        <w:t>Sbs3ReportBuilder.java</w:t>
      </w:r>
      <w:r>
        <w:rPr>
          <w:rFonts w:ascii="Segoe UI" w:hAnsi="Segoe UI"/>
          <w:color w:val="2D3748"/>
          <w:sz w:val="19"/>
        </w:rPr>
        <w:t xml:space="preserve"> in </w:t>
      </w:r>
      <w:r>
        <w:rPr>
          <w:rFonts w:ascii="Consolas" w:hAnsi="Consolas"/>
          <w:color w:val="801515"/>
          <w:sz w:val="18"/>
        </w:rPr>
        <w:t>com.uslbd.ulms.compliance.reports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 xml:space="preserve">Extract aggregated loan exposure by industrial sector from </w:t>
      </w:r>
      <w:r>
        <w:rPr>
          <w:rFonts w:ascii="Consolas" w:hAnsi="Consolas"/>
          <w:color w:val="801515"/>
          <w:sz w:val="18"/>
        </w:rPr>
        <w:t>ulms.loan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Format output adhering to BB Regcon XML Schema Definition (XSD).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>4. Register report definition in the regulatory-return catalog (ulms.regulatory_return).</w:t>
      </w:r>
      <w:r>
        <w:rPr>
          <w:rFonts w:ascii="Segoe UI" w:hAnsi="Segoe UI"/>
          <w:color w:val="2D3748"/>
          <w:sz w:val="19"/>
        </w:rPr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0676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_brp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067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Bangladesh Bank Statutory Calculation Decision Matrix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Authoritative schema rules driving XML return payload generation and XSD validation.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DOC-05-EXT-07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