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DOC-05-EXT-08: Enterprise Test Harness Development, Testcontainers &amp; Mocks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DOC-05-EXT-08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tutorial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enterprise_test_harness_testcontainers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[qa_engineer, backend_developer, ci_cd_engineer]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DOC-05-EXT-08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DOC-05-EXT-08: Enterprise Test Harness Development, Testcontainers &amp; Mocks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Testcontainers launching real database instances ensuring zero SQL compatibility gaps.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Automated Integration Test Execution with Real PostgreSQL 17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Testcontainers launching real database instances ensuring zero SQL compatibility gaps.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Test Harness Development &amp; Testcontainers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Quality Engineering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DOC-06-QA-01</w:t>
            </w:r>
            <w:r>
              <w:rPr>
                <w:rFonts w:ascii="Segoe UI" w:hAnsi="Segoe UI"/>
                <w:color w:val="2D3748"/>
                <w:sz w:val="17"/>
              </w:rPr>
              <w:t xml:space="preserve"> → Spring Boot 4 Testing Best Practices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Zero-Mock Database Testing with Testcontainers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Deterministic verification of external CIB and NIDW API mocks with WireMock.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Diagnostic Self-Testbed &amp; Mock Service Scenarios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Deterministic verification of external CIB and NIDW API mocks with WireMock.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rejects in-memory H2 databases for testing because H2 fails to emulate PostgreSQL 17 features (JSONB operators, CTEs, window functions, and Flyway V1-V18 scripts). All integration tests run against real PostgreSQL 17 inside Docker: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@SpringBootTest</w:t>
              <w:br/>
              <w:t>@Testcontainers</w:t>
              <w:br/>
              <w:t>public abstract class AbstractIntegrationTest {</w:t>
              <w:br/>
              <w:t xml:space="preserve">    @Container</w:t>
              <w:br/>
              <w:t xml:space="preserve">    static PostgreSQLContainer&lt;?&gt; postgres = new PostgreSQLContainer&lt;&gt;("postgres:17-alpine")</w:t>
              <w:br/>
              <w:t xml:space="preserve">            .withDatabaseName("ulms_test")</w:t>
              <w:br/>
              <w:t xml:space="preserve">            .withUsername("test")</w:t>
              <w:br/>
              <w:t xml:space="preserve">            .withPassword("test");</w:t>
              <w:br/>
              <w:br/>
              <w:t xml:space="preserve">    @DynamicPropertySource</w:t>
              <w:br/>
              <w:t xml:space="preserve">    static void configureProperties(DynamicPropertyRegistry registry) {</w:t>
              <w:br/>
              <w:t xml:space="preserve">        registry.add("spring.datasource.url", postgres::getJdbcUrl);</w:t>
              <w:br/>
              <w:t xml:space="preserve">    }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Quality Engineering &amp; Testing Hub Directory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interface for executing component tests, modularity tests, and E2E journeys.</w:t>
      </w:r>
    </w:p>
    <w:p>
      <w:r>
        <w:rPr>
          <w:b/>
        </w:rPr>
        <w:t>Addendum — v3.1.0 corrections (Independent Forensic Re-audit, 8 October 2026)</w:t>
      </w:r>
    </w:p>
    <w:p>
      <w:r>
        <w:t>Expansion pending (flagged): WireMock configuration and mock-adapter guidance (promised in the catalog) not yet authored; the Testcontainers-PostgreSQL principle stated here is correct (no H2).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DOC-05-EXT-08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