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06 QUALITY ASSURANCE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DOC-06-QA-01: Automated Test Harness Architecture &amp; Verification Suite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DOC-06-QA-01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automated_test_harness_architecture_and_verification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[qa_engineer, test_automation_engineer, backend_developer, tech_lead, devops_engineer]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DOC-06-QA-01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DOC-06-QA-01: Automated Test Harness Architecture &amp; Verification Suite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Automated Test Harness Architecture &amp; Verification Suite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Quality Assurance Technical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QA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LMS_CODEBASE/PLANNING/09_Testing_and_QA_Strategy.md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LMS_CODEBASE/.gitlab-ci.yml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LMS_CODEBASE/e2e/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Testing Pyramid &amp; Multi-Tier Verification Strategy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Comprehensive test execution across Playwright E2E, Vitest unit, and API contracts.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5281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_tes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528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Automated Test Harness Verification Suite &amp; CI Quality Gate Matrix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Comprehensive test execution across Playwright E2E, Vitest unit, and API contracts.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ULMS v2.0 enforces a multi-tier automated test harness that guarantees bank-grade correctness across functional, mathematical, and regulatory domains. Every build must satisfy rigorous quality gates spanning four distinct verification tiers: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subgraph Test_Pyramid ["ULMS Multi-Tier Verification Pyramid"]</w:t>
              <w:br/>
              <w:t xml:space="preserve">        E2E["Tier 4: End-to-End Journeys &amp; Accessibility (Playwright)&lt;br/&gt;12 Spec Suites | 44 full-lifecycle tests | Real UI &amp; Mock API | axe-core WCAG 2.1 AA"]</w:t>
              <w:br/>
              <w:t xml:space="preserve">        INT["Tier 3: External Integration Contracts &amp; Fault Injections (WireMock)&lt;br/&gt;CIB mTLS, NIDW e-KYC, MFS Webhooks, Resilience4j Circuit Breakers"]</w:t>
              <w:br/>
              <w:t xml:space="preserve">        MOD["Tier 2: Module &amp; Database Slices (Testcontainers PG17)&lt;br/&gt;189 tests across 55 test classes | Zero H2 Mocks | Dual-Schema Flyway Validations"]</w:t>
              <w:br/>
              <w:t xml:space="preserve">        UNIT["Tier 1: Fast Mathematical Oracles &amp; Pure Units (JUnit 5 + Vitest)&lt;br/&gt;MoneyMath EMI Parity, Zod Validation, BRPD Classifier, Day-Count Oracles"]</w:t>
              <w:br/>
              <w:t xml:space="preserve">    end</w:t>
              <w:br/>
              <w:t xml:space="preserve">    UNIT --&gt; MOD --&gt; INT --&gt; E2E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The Zero-Mock Data Invariant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In accordance with ULMS architectural principles, </w:t>
      </w:r>
      <w:r>
        <w:rPr>
          <w:rFonts w:ascii="Segoe UI" w:hAnsi="Segoe UI"/>
          <w:b/>
          <w:color w:val="2D3748"/>
          <w:sz w:val="19"/>
        </w:rPr>
        <w:t>in-memory database mocks (H2, SQLite) are strictly prohibited</w:t>
      </w:r>
      <w:r>
        <w:rPr>
          <w:rFonts w:ascii="Segoe UI" w:hAnsi="Segoe UI"/>
          <w:color w:val="2D3748"/>
          <w:sz w:val="19"/>
        </w:rPr>
        <w:t xml:space="preserve"> for backend data testing. All repository, transaction, and outbox tests execute exclusively against ephemeral </w:t>
      </w:r>
      <w:r>
        <w:rPr>
          <w:rFonts w:ascii="Segoe UI" w:hAnsi="Segoe UI"/>
          <w:b/>
          <w:color w:val="2D3748"/>
          <w:sz w:val="19"/>
        </w:rPr>
        <w:t>PostgreSQL 17</w:t>
      </w:r>
      <w:r>
        <w:rPr>
          <w:rFonts w:ascii="Segoe UI" w:hAnsi="Segoe UI"/>
          <w:color w:val="2D3748"/>
          <w:sz w:val="19"/>
        </w:rPr>
        <w:t xml:space="preserve"> container instances orchestrated via Testcontainers. This eliminates SQL dialect drift, concurrency masking, and transaction isolation discrepancies before code reaches staging.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Tier 1 &amp; Tier 2: Backend Test Harness (JUnit 5 + Testcontainers PG17)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The backend test harness exercises the Spring Boot 4 modular monolith across business logic, domain invariants, and database persistence.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2.1 Suite Execution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Navigate to the API service directory</w:t>
              <w:br/>
              <w:t>cd c:\software_project\mim_project\LMS\LMS_CODEBASE\apps\api</w:t>
              <w:br/>
              <w:br/>
              <w:t># Run full backend test suite (unit + integration slices)</w:t>
              <w:br/>
              <w:t>./gradlew test</w:t>
              <w:br/>
              <w:br/>
              <w:t># Run specific test suite with full stacktraces</w:t>
              <w:br/>
              <w:t>./gradlew test --tests com.uslbd.ulms.ModularityTest --info</w:t>
              <w:br/>
              <w:br/>
              <w:t># Run financial arithmetic oracle verification</w:t>
              <w:br/>
              <w:t>./gradlew test --tests com.uslbd.ulms.assessment.AssessmentServiceTest</w:t>
              <w:br/>
              <w:br/>
              <w:t># Run regulatory classification boundary lock tests</w:t>
              <w:br/>
              <w:t>./gradlew test --tests com.uslbd.ulms.compliance.BrpdBoundaryLockTest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2.2 Key Backend Test Suites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Test Class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Core Assertions &amp; Banking Invariants Tested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`ModularityTest.java`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apps/api/src/test/java/com/uslbd/ulms/ModularityTest.java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Spring Modulith module boundary enforcement. ArchUnit assertions forbidding direct cross-module entity references, circular dependencies, and floating-point money types.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`BrpdBoundaryLockTest.java`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apps/api/src/test/java/com/uslbd/ulms/compliance/BrpdBoundaryLockTest.java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Verifies exact $\pm 1$ DPD boundary transitions under BRPD Circular 15/2024: STD-0 (0), STD-1 (1–30), STD-2 (31–60), SMA (61–90), SS (91–180), DF (181–365), B/L (&gt;365).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`BrpdClassifierTest.java`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apps/api/src/test/java/com/uslbd/ulms/compliance/BrpdClassifierTest.java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Verifies statutory provisioning basis points: 1% for standard, 5% for SMA, 20% for SS, 50% for DF, 100% for B/L, including qualitative objective overrides.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`AssessmentServiceTest.java`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apps/api/src/test/java/com/uslbd/ulms/assessment/AssessmentServiceTest.java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Verifies the single </w:t>
            </w:r>
            <w:r>
              <w:rPr>
                <w:rFonts w:ascii="Consolas" w:hAnsi="Consolas"/>
                <w:color w:val="801515"/>
                <w:sz w:val="16"/>
              </w:rPr>
              <w:t>MoneyMath.emiMonthly</w:t>
            </w:r>
            <w:r>
              <w:rPr>
                <w:rFonts w:ascii="Segoe UI" w:hAnsi="Segoe UI"/>
                <w:color w:val="2D3748"/>
                <w:sz w:val="17"/>
              </w:rPr>
              <w:t xml:space="preserve"> oracle, scorecard factor weighting (50/30/20), and strict Debt Burden Ratio (DBR) 50% ceiling enforcement.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`G2CreditToCashJourneyTest.java`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apps/api/src/test/java/com/uslbd/ulms/approval/G2CreditToCashJourneyTest.java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Full 7-level credit committee approval ladder: verifies role gating and returns HTTP 409 Conflict when a Maker attempts self-authorization.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`OutboxServiceTest.java`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apps/api/src/test/java/com/uslbd/ulms/platform/outbox/OutboxServiceTest.java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Asserts at-least-once transactional event dispatch, poison-pill dead-letter queue routing, and exponential backoff retry.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Tier 3: External Integration Contracts &amp; Fault Injection (WireMock)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Partner banking integrations (Bangladesh Bank CIB Online, Election Commission NIDW, MFS payment rails) operate behind WireMock simulations during automated testing to validate resilience: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Simulated Failure Scenarios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CIB Rate Limiting (HTTP 429):</w:t>
      </w:r>
      <w:r>
        <w:rPr>
          <w:rFonts w:ascii="Segoe UI" w:hAnsi="Segoe UI"/>
          <w:color w:val="2D3748"/>
          <w:sz w:val="19"/>
        </w:rPr>
        <w:t xml:space="preserve"> Simulates 50 requests/sec bursts returning HTTP 429 with </w:t>
      </w:r>
      <w:r>
        <w:rPr>
          <w:rFonts w:ascii="Consolas" w:hAnsi="Consolas"/>
          <w:color w:val="801515"/>
          <w:sz w:val="18"/>
        </w:rPr>
        <w:t>Retry-After: 30</w:t>
      </w:r>
      <w:r>
        <w:rPr>
          <w:rFonts w:ascii="Segoe UI" w:hAnsi="Segoe UI"/>
          <w:color w:val="2D3748"/>
          <w:sz w:val="19"/>
        </w:rPr>
        <w:t xml:space="preserve"> headers to assert that callers queue gracefully without dropping customer application requests.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Partner 500 Outage Storms:</w:t>
      </w:r>
      <w:r>
        <w:rPr>
          <w:rFonts w:ascii="Segoe UI" w:hAnsi="Segoe UI"/>
          <w:color w:val="2D3748"/>
          <w:sz w:val="19"/>
        </w:rPr>
        <w:t xml:space="preserve"> Simulates upstream 502/503/504 errors to assert that Resilience4j circuit breakers trip open after 5 consecutive failures, routing traffic to offline fallback queues.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MFS Payment Webhook Replay Storms:</w:t>
      </w:r>
      <w:r>
        <w:rPr>
          <w:rFonts w:ascii="Segoe UI" w:hAnsi="Segoe UI"/>
          <w:color w:val="2D3748"/>
          <w:sz w:val="19"/>
        </w:rPr>
        <w:t xml:space="preserve"> Injects 10 rapid duplicate callbacks with identical transaction IDs (</w:t>
      </w:r>
      <w:r>
        <w:rPr>
          <w:rFonts w:ascii="Consolas" w:hAnsi="Consolas"/>
          <w:color w:val="801515"/>
          <w:sz w:val="18"/>
        </w:rPr>
        <w:t>txn_id</w:t>
      </w:r>
      <w:r>
        <w:rPr>
          <w:rFonts w:ascii="Segoe UI" w:hAnsi="Segoe UI"/>
          <w:color w:val="2D3748"/>
          <w:sz w:val="19"/>
        </w:rPr>
        <w:t>) to assert that exactly one ledger posting occurs and 9 idempotent HTTP 200 responses are returned with zero double-crediting.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Tier 4: End-to-End Journey &amp; Accessibility Verification (Playwright)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In-browser automated verification confirming zero broken links or rendering faults.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Browser Diagnostic Harness &amp; Route Health Test Suite (405/405 Passing)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In-browser automated verification confirming zero broken links or rendering faults.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end-to-end (E2E) testing suite uses </w:t>
      </w:r>
      <w:r>
        <w:rPr>
          <w:rFonts w:ascii="Segoe UI" w:hAnsi="Segoe UI"/>
          <w:b/>
          <w:color w:val="2D3748"/>
          <w:sz w:val="19"/>
        </w:rPr>
        <w:t>Playwright 1.63+</w:t>
      </w:r>
      <w:r>
        <w:rPr>
          <w:rFonts w:ascii="Segoe UI" w:hAnsi="Segoe UI"/>
          <w:color w:val="2D3748"/>
          <w:sz w:val="19"/>
        </w:rPr>
        <w:t xml:space="preserve"> and </w:t>
      </w:r>
      <w:r>
        <w:rPr>
          <w:rFonts w:ascii="Segoe UI" w:hAnsi="Segoe UI"/>
          <w:b/>
          <w:color w:val="2D3748"/>
          <w:sz w:val="19"/>
        </w:rPr>
        <w:t>axe-core</w:t>
      </w:r>
      <w:r>
        <w:rPr>
          <w:rFonts w:ascii="Segoe UI" w:hAnsi="Segoe UI"/>
          <w:color w:val="2D3748"/>
          <w:sz w:val="19"/>
        </w:rPr>
        <w:t xml:space="preserve"> to validate user journeys in Chromium, Firefox, and WebKit against the production web application.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4.1 Suite Execution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Navigate to the E2E directory</w:t>
              <w:br/>
              <w:t>cd c:\software_project\mim_project\LMS\LMS_CODEBASE\e2e</w:t>
              <w:br/>
              <w:br/>
              <w:t># Run all 12 Playwright test suites headlessly</w:t>
              <w:br/>
              <w:t>npx playwright test</w:t>
              <w:br/>
              <w:br/>
              <w:t># Run tests with interactive UI mode (debugger &amp; visual timeline)</w:t>
              <w:br/>
              <w:t>npx playwright test --ui</w:t>
              <w:br/>
              <w:br/>
              <w:t># Run tests in headed browser mode</w:t>
              <w:br/>
              <w:t>npx playwright test --headed</w:t>
              <w:br/>
              <w:br/>
              <w:t># Run a specific spec suite (e.g., Origination Journey)</w:t>
              <w:br/>
              <w:t>npx playwright test spec/p1-origination.spec.ts</w:t>
              <w:br/>
              <w:br/>
              <w:t># Generate and view detailed HTML test report</w:t>
              <w:br/>
              <w:t>npx playwright show-report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4.2 Comprehensive Inventory of E2E Spec Suites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Spec File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Focus Area &amp; User Journey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Key Validations &amp; Scenarios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`walking-skeleton.spec.ts`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Infrastructure Smoke Test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Verifies that staff application, mock API, and Keycloak auth respond on expected ports with zero console errors.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`p1-origination.spec.ts`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Loan Origination Lifecycle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Customer search $\to$ e-KYC $\to$ application wizard draft $\to$ live DBR calculation $\to$ collateral attachment $\to$ Maker submit.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`p2-credit.spec.ts`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Credit Assessment &amp; Underwriting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Risk scoring (50/30/20) $\to$ CIB Online report parsing $\to$ underwriter recommendations $\to$ sanction letter generation.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`p3-servicing.spec.ts`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Loan Servicing &amp; Repayments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Amortization schedule inspection $\to$ installment collection $\to$ prepayment calculation $\to$ payment gateway webhook reconciliation.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`p4-regcon.spec.ts`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Regulatory Compliance &amp; BRPD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BRPD 15/2024 classification board $\to$ DPD aging transition $\to$ nightly EOD simulation $\to$ provisioning JV verification.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`q3-otp-required.spec.ts`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Dual-Control Disbursement Security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Enforces 2FA/OTP step-up authentication prior to releasing loan funds exceeding BDT 500,000.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`r2-security.spec.ts`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Security &amp; RBAC Enforcement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Asserts unauthorized route blocking, session timeout handling, and Keycloak token refresh.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`r3-products-sanctions-bocc.spec.ts`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 Engine &amp; Islamic Finance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Verifies Retail, SME, and Islamic Murabaha/Ijara product parameters, sanction letter drafting, and Board Credit Committee (BCC) flows.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`r4-depth.spec.ts`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High-Density UI &amp; Data Grids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High-density data grid virtualization, multi-document tab navigation, column filtering, and export performance.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`r5-portal-partner.spec.ts`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Borrower &amp; Field Agent Portals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Self-service borrower portal loan view and Field Officer Contact Point Verification (CPV) mobile workflow.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`a11y-axe.spec.ts`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Accessibility Compliance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Automated WCAG 2.1 AA auditing using </w:t>
            </w:r>
            <w:r>
              <w:rPr>
                <w:rFonts w:ascii="Consolas" w:hAnsi="Consolas"/>
                <w:color w:val="801515"/>
                <w:sz w:val="16"/>
              </w:rPr>
              <w:t>@axe-core/playwright</w:t>
            </w:r>
            <w:r>
              <w:rPr>
                <w:rFonts w:ascii="Segoe UI" w:hAnsi="Segoe UI"/>
                <w:color w:val="2D3748"/>
                <w:sz w:val="17"/>
              </w:rPr>
              <w:t xml:space="preserve"> across all 9 primary workspace views.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`i18n-separation.spec.ts`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Strict Bilingual Separation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Asserts zero Bengali script leakage in English mode and zero untranslated English tokens in Bengali mode.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4.3 Sample Playwright Accessibility &amp; Journey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typescript</w:t>
              <w:br/>
            </w:r>
            <w:r>
              <w:rPr>
                <w:rFonts w:ascii="Consolas" w:hAnsi="Consolas"/>
                <w:color w:val="1A202C"/>
                <w:sz w:val="17"/>
              </w:rPr>
              <w:t>import { test, expect } from '@playwright/test';</w:t>
              <w:br/>
              <w:t>import AxeBuilder from '@axe-core/playwright';</w:t>
              <w:br/>
              <w:br/>
              <w:t>test.describe('Accessibility &amp; Origination Journey Quality Gates', () =&gt; {</w:t>
              <w:br/>
              <w:t xml:space="preserve">  test('Loan origination wizard must satisfy WCAG 2.1 AA standards', async ({ page }) =&gt; {</w:t>
              <w:br/>
              <w:t xml:space="preserve">    // 1. Navigate to Loan Origination Wizard</w:t>
              <w:br/>
              <w:t xml:space="preserve">    await page.goto('/origination/new');</w:t>
              <w:br/>
              <w:t xml:space="preserve">    await page.waitForSelector('[data-testid="origination-wizard"]');</w:t>
              <w:br/>
              <w:br/>
              <w:t xml:space="preserve">    // 2. Execute automated accessibility audit via axe-core</w:t>
              <w:br/>
              <w:t xml:space="preserve">    const accessibilityScanResults = await new AxeBuilder({ page })</w:t>
              <w:br/>
              <w:t xml:space="preserve">      .withTags(['wcag2a', 'wcag2aa', 'wcag21a', 'wcag21aa'])</w:t>
              <w:br/>
              <w:t xml:space="preserve">      .disableRules(['color-contrast']) // Reviewed manually in high-contrast mode</w:t>
              <w:br/>
              <w:t xml:space="preserve">      .analyze();</w:t>
              <w:br/>
              <w:br/>
              <w:t xml:space="preserve">    expect(accessibilityScanResults.violations).toEqual([]);</w:t>
              <w:br/>
              <w:br/>
              <w:t xml:space="preserve">    // 3. Fill customer particulars and verify DBR calculation</w:t>
              <w:br/>
              <w:t xml:space="preserve">    await page.fill('#monthly-income', '150000');</w:t>
              <w:br/>
              <w:t xml:space="preserve">    await page.fill('#existing-liabilities', '20000');</w:t>
              <w:br/>
              <w:t xml:space="preserve">    await page.fill('#requested-amount', '2000000');</w:t>
              <w:br/>
              <w:t xml:space="preserve">    await page.selectOption('#loan-tenor', '36');</w:t>
              <w:br/>
              <w:br/>
              <w:t xml:space="preserve">    // Assert live DBR calculator computes correctly</w:t>
              <w:br/>
              <w:t xml:space="preserve">    const dbrText = await page.locator('[data-testid="dbr-metric"]').textContent();</w:t>
              <w:br/>
              <w:t xml:space="preserve">    expect(dbrText).toContain('44.8%');</w:t>
              <w:br/>
              <w:t xml:space="preserve">    expect(page.locator('[data-testid="dbr-status-badge"]')).toHaveText('Compliant (&lt; 50%)');</w:t>
              <w:br/>
              <w:t xml:space="preserve">  });</w:t>
              <w:br/>
              <w:t>});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Frontend Unit &amp; Contract Test Suite (Vitest)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Integrated quality management and regulatory compliance verification hub.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Test Suite Navigation &amp; Quality Assurance Module Directory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Integrated quality management and regulatory compliance verification hub.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The frontend web application (</w:t>
      </w:r>
      <w:r>
        <w:rPr>
          <w:rFonts w:ascii="Consolas" w:hAnsi="Consolas"/>
          <w:color w:val="801515"/>
          <w:sz w:val="18"/>
        </w:rPr>
        <w:t>apps/web</w:t>
      </w:r>
      <w:r>
        <w:rPr>
          <w:rFonts w:ascii="Segoe UI" w:hAnsi="Segoe UI"/>
          <w:color w:val="2D3748"/>
          <w:sz w:val="19"/>
        </w:rPr>
        <w:t xml:space="preserve">) leverages </w:t>
      </w:r>
      <w:r>
        <w:rPr>
          <w:rFonts w:ascii="Segoe UI" w:hAnsi="Segoe UI"/>
          <w:b/>
          <w:color w:val="2D3748"/>
          <w:sz w:val="19"/>
        </w:rPr>
        <w:t>Vitest</w:t>
      </w:r>
      <w:r>
        <w:rPr>
          <w:rFonts w:ascii="Segoe UI" w:hAnsi="Segoe UI"/>
          <w:color w:val="2D3748"/>
          <w:sz w:val="19"/>
        </w:rPr>
        <w:t xml:space="preserve"> for sub-second unit test execution covering mathematical helpers, Zod validation schemas, and state reducers: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Navigate to web application directory</w:t>
              <w:br/>
              <w:t>cd c:\software_project\mim_project\LMS\LMS_CODEBASE\apps\web</w:t>
              <w:br/>
              <w:br/>
              <w:t># Run Vitest unit suite</w:t>
              <w:br/>
              <w:t>npm run test:unit</w:t>
              <w:br/>
              <w:br/>
              <w:t># Run TypeScript compilation and type check</w:t>
              <w:br/>
              <w:t>npm run typecheck</w:t>
              <w:br/>
              <w:br/>
              <w:t># Build production bundle</w:t>
              <w:br/>
              <w:t>npm run build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6. Headless Route &amp; Link Integrity Harness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In addition to browser-based tests, the repository includes a zero-dependency headless Node.js route and link auditing harness: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cd c:\software_project\mim_project\LMS\Front_end</w:t>
              <w:br/>
              <w:br/>
              <w:t># Test all 405 routes for rendering integrity without throwing</w:t>
              <w:br/>
              <w:t>node _tools/route_test.js</w:t>
              <w:br/>
              <w:br/>
              <w:t># Audit all 1,327 navigation links for dead targets</w:t>
              <w:br/>
              <w:t>node _tools/link_audit.js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 xml:space="preserve">Current Baseline: </w:t>
      </w:r>
      <w:r>
        <w:rPr>
          <w:rFonts w:ascii="Segoe UI" w:hAnsi="Segoe UI"/>
          <w:i/>
          <w:color w:val="2D3748"/>
          <w:sz w:val="19"/>
        </w:rPr>
        <w:t>405/405 routes pass</w:t>
      </w:r>
      <w:r>
        <w:rPr>
          <w:rFonts w:ascii="Segoe UI" w:hAnsi="Segoe UI"/>
          <w:i/>
          <w:color w:val="2D3748"/>
          <w:sz w:val="19"/>
        </w:rPr>
        <w:t xml:space="preserve">, </w:t>
      </w:r>
      <w:r>
        <w:rPr>
          <w:rFonts w:ascii="Segoe UI" w:hAnsi="Segoe UI"/>
          <w:i/>
          <w:color w:val="2D3748"/>
          <w:sz w:val="19"/>
        </w:rPr>
        <w:t>0 dead links of 1,327</w:t>
      </w:r>
      <w:r>
        <w:rPr>
          <w:rFonts w:ascii="Segoe UI" w:hAnsi="Segoe UI"/>
          <w:i/>
          <w:color w:val="2D3748"/>
          <w:sz w:val="19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7. Continuous Integration (CI) Quality Gates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The automated CI pipeline (</w:t>
      </w:r>
      <w:r>
        <w:rPr>
          <w:rFonts w:ascii="Consolas" w:hAnsi="Consolas"/>
          <w:color w:val="801515"/>
          <w:sz w:val="18"/>
        </w:rPr>
        <w:t>.gitlab-ci.yml</w:t>
      </w:r>
      <w:r>
        <w:rPr>
          <w:rFonts w:ascii="Segoe UI" w:hAnsi="Segoe UI"/>
          <w:color w:val="2D3748"/>
          <w:sz w:val="19"/>
        </w:rPr>
        <w:t xml:space="preserve">) enforces the following mandatory quality gates before any code merges into the </w:t>
      </w:r>
      <w:r>
        <w:rPr>
          <w:rFonts w:ascii="Consolas" w:hAnsi="Consolas"/>
          <w:color w:val="801515"/>
          <w:sz w:val="18"/>
        </w:rPr>
        <w:t>main</w:t>
      </w:r>
      <w:r>
        <w:rPr>
          <w:rFonts w:ascii="Segoe UI" w:hAnsi="Segoe UI"/>
          <w:color w:val="2D3748"/>
          <w:sz w:val="19"/>
        </w:rPr>
        <w:t xml:space="preserve"> release branch: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LR</w:t>
              <w:br/>
              <w:t xml:space="preserve">    G1["Gate 1: Static Analysis&lt;br/&gt;Checkstyle, ESLint, ArchUnit"] --&gt; G2["Gate 2: Unit Oracles&lt;br/&gt;JUnit 5 &amp; Vitest (100% Pass)"]</w:t>
              <w:br/>
              <w:t xml:space="preserve">    G2 --&gt; G3["Gate 3: Data Slices&lt;br/&gt;Testcontainers PG17 (189 tests)"]</w:t>
              <w:br/>
              <w:t xml:space="preserve">    G3 --&gt; G4["Gate 4: E2E Journeys&lt;br/&gt;Playwright (12 Suites, 0 Failures)"]</w:t>
              <w:br/>
              <w:t xml:space="preserve">    G4 --&gt; G5["Gate 5: Coverage Ceilings&lt;br/&gt;Line &gt; 85%, MoneyMath = 100%"]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Quality Gate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Metric / Criterion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Threshold / Policy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Enforcement Action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Architecture Boundaries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Spring Modulith &amp; ArchUnit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0 violations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Build terminates immediately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Money Arithmetic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Branch Coverage on </w:t>
            </w:r>
            <w:r>
              <w:rPr>
                <w:rFonts w:ascii="Consolas" w:hAnsi="Consolas"/>
                <w:color w:val="801515"/>
                <w:sz w:val="16"/>
              </w:rPr>
              <w:t>MoneyMath.java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Exactly 100%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Merge blocked if $&lt; 100\%$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Backend Line Coverage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Jacoco Coverage Report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$\ge 85.0\%$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Merge blocked if $&lt; 85.0\%$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Accessibility (a11y)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axe-core WCAG 2.1 AA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0 critical/serious violations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E2E suite fails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Contract Parity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OpenAPI Spec vs Controller Schema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100% matched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API generation fails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Automated Test Harness Architecture &amp; Verification Specification —</w:t>
      </w:r>
    </w:p>
    <w:p>
      <w:r>
        <w:rPr>
          <w:b/>
        </w:rPr>
        <w:t>Addendum — v3.1.0 corrections (Independent Forensic Re-audit, 8 October 2026)</w:t>
      </w:r>
    </w:p>
    <w:p>
      <w:r>
        <w:t>Corrections (v3.1.0): backend suite = 189 tests across 55 test classes (MoneyMath is exercised via AssessmentServiceTest/ServicingJourneyTest/ProductServiceTest — there is no MoneyMathTest class); e2e = 12 Playwright suites, 44 tests. Accessibility evidence chain: automated axe-core covers the 9 primary workspace views; the 166-screen WCAG 2.1 AA claim rests on the design system plus targeted audits — full per-screen automation is not yet in place, and the color-contrast rule must be enabled in the release gate.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DOC-06-QA-01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