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06 QUALITY ASSURANCE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DOC-06-QA-03: WCAG 2.1 AA Accessibility Verification &amp; Screen Reader Audit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DOC-06-QA-03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wcag_aa_accessibility_screen_reader_audit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[accessibility_specialist, frontend_lead, qa_engineer]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DOC-06-QA-03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DOC-06-QA-03: WCAG 2.1 AA Accessibility Verification &amp; Screen Reader Audit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WCAG 2.1 AA compliant color palette with minimum 4.5:1 text contrast ratio.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High-Contrast Accessible Enterprise Navigation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WCAG 2.1 AA compliant color palette with minimum 4.5:1 text contrast ratio.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WCAG 2.1 AA Accessibility Verification &amp; Screen Reader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Accessibility &amp; Quality Assurance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W3C WCAG 2.1 Level AA → Section 508 Standards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Compliance Standard &amp; Scope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166 validated frontend screens in ULMS v2.0 are required to comply with </w:t>
      </w:r>
      <w:r>
        <w:rPr>
          <w:rFonts w:ascii="Segoe UI" w:hAnsi="Segoe UI"/>
          <w:b/>
          <w:color w:val="2D3748"/>
          <w:sz w:val="19"/>
        </w:rPr>
        <w:t>WCAG 2.1 Level AA</w:t>
      </w:r>
      <w:r>
        <w:rPr>
          <w:rFonts w:ascii="Segoe UI" w:hAnsi="Segoe UI"/>
          <w:color w:val="2D3748"/>
          <w:sz w:val="19"/>
        </w:rPr>
        <w:t>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Contrast Ratio:</w:t>
      </w:r>
      <w:r>
        <w:rPr>
          <w:rFonts w:ascii="Segoe UI" w:hAnsi="Segoe UI"/>
          <w:color w:val="2D3748"/>
          <w:sz w:val="19"/>
        </w:rPr>
        <w:t xml:space="preserve"> Minimum $4.5:1$ for normal text, $3.0:1$ for large text and UI controls.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Keyboard Operability:</w:t>
      </w:r>
      <w:r>
        <w:rPr>
          <w:rFonts w:ascii="Segoe UI" w:hAnsi="Segoe UI"/>
          <w:color w:val="2D3748"/>
          <w:sz w:val="19"/>
        </w:rPr>
        <w:t xml:space="preserve"> 100% of interactive widgets accessible via </w:t>
      </w:r>
      <w:r>
        <w:rPr>
          <w:rFonts w:ascii="Consolas" w:hAnsi="Consolas"/>
          <w:color w:val="801515"/>
          <w:sz w:val="18"/>
        </w:rPr>
        <w:t>Tab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Enter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Space</w:t>
      </w:r>
      <w:r>
        <w:rPr>
          <w:rFonts w:ascii="Segoe UI" w:hAnsi="Segoe UI"/>
          <w:color w:val="2D3748"/>
          <w:sz w:val="19"/>
        </w:rPr>
        <w:t>, and Arrow keys.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Screen Reader Support:</w:t>
      </w:r>
      <w:r>
        <w:rPr>
          <w:rFonts w:ascii="Segoe UI" w:hAnsi="Segoe UI"/>
          <w:color w:val="2D3748"/>
          <w:sz w:val="19"/>
        </w:rPr>
        <w:t xml:space="preserve"> Full NVDA and JAWS compatibility with bilingual Bengali/English ARIA labels.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Automated Axe-Core Regression Test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Playwright test execution confirming zero automated accessibility violations across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Automated Axe-Core Accessibility Regression Harness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Playwright test execution confirming zero automated accessibility violations across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typescript</w:t>
              <w:br/>
            </w:r>
            <w:r>
              <w:rPr>
                <w:rFonts w:ascii="Consolas" w:hAnsi="Consolas"/>
                <w:color w:val="1A202C"/>
                <w:sz w:val="17"/>
              </w:rPr>
              <w:t>import { test, expect } from '@playwright/test';</w:t>
              <w:br/>
              <w:t>import AxeBuilder from '@axe-core/playwright';</w:t>
              <w:br/>
              <w:br/>
              <w:t>test('loan 360 page must pass zero-defect accessibility audit', async ({ page }) =&gt; {</w:t>
              <w:br/>
              <w:t xml:space="preserve">  await page.goto('/loans/LN-2026-00892/360');</w:t>
              <w:br/>
              <w:t xml:space="preserve">  const accessibilityScanResults = await new AxeBuilder({ page }).analyze();</w:t>
              <w:br/>
              <w:t xml:space="preserve">  expect(accessibilityScanResults.violations).toEqual([]);</w:t>
              <w:br/>
              <w:t>});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Accessible Loan Account 360 High-Density Workspace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Full keyboard operability and bilingual screen reader support (English &amp; Bengali).</w:t>
      </w:r>
    </w:p>
    <w:p>
      <w:r>
        <w:rPr>
          <w:b/>
        </w:rPr>
        <w:t>Addendum — v3.1.0 corrections (Independent Forensic Re-audit, 8 October 2026)</w:t>
      </w:r>
    </w:p>
    <w:p>
      <w:r>
        <w:t>Expansion pending (flagged): a screen-reader audit procedure (NVDA/JAWS steps, manual keyboard map) is still to be authored; the automated axe evidence currently covers the primary workspace views (see QA-01).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DOC-06-QA-03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