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MEDDPIC Enterprise Deal Qualification &amp; Discovery Questionnaire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DOC-09-SALES-03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DOC-09-SALES-03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Confidential Internal Sales Playbook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[sales_team, account_executive, solution_architect]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MEDDPIC Deal Qualification &amp; Discovery Guide</w:t>
      </w:r>
    </w:p>
    <w:p>
      <w:pPr>
        <w:pStyle w:val="Heading2"/>
        <w:keepNext/>
      </w:pPr>
      <w:r>
        <w:t>Institutional Opportunity Scoring for Bangladesh Commercial Bank Deals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Pipeline view illustrating origination stage gates" title="Figure 1: Production UI — Deal Progression Pipeline &amp; Stage-Gate Track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Production UI — Deal Progression Pipeline &amp; Stage-Gate Tracking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DOC-09-SALES-03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Target Sales Stage: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Early Engagement, Lead Qualification &amp; Pipeline Review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Head of Business Development &amp; Sales Operations Lead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Internal Sales Enablement Asset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Why MEDDPIC in Bangladesh Banking Sales?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Customer profile screen showing biometric verification status" title="Figure 2: Production UI — Customer 360-Degree Profile &amp; e-KYC Verification Doss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Production UI — Customer 360-Degree Profile &amp; e-KYC Verification Dossier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Enterprise banking software deals in Bangladesh have long gestation cycles (6 to 12 months) and involve dozens of stakeholders. Unqualified deals waste hundreds of engineering hours, tie up pre-sales resources, and generate inaccurate revenue forecasts.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MEDDPIC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is the enterprise qualification operating system used by top-tier enterprise technology companies. Every ULMS v2.0 opportunity must be scored against the seven MEDDPIC dimensions before pre-sales resources are committed: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┌──────────┬──────────────────────────────────────────────────────────────────┐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LETTER   │ MEDDPIC PILLAR IN BANGLADESH BANKING CONTEXT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├──────────┼──────────────────────────────────────────────────────────────────┤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M     │ METRICS — Quantifiable operational &amp; financial gains for the bank│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E     │ ECONOMIC BUYER — The executive who holds discretionary budget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D     │ DECISION CRITERIA — The formal technical, financial &amp; risk rules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D     │ DECISION PROCESS — The internal approval &amp; Board governance steps│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P     │ PAPER PROCESS — The legal, procurement (PPR 2008), &amp; contract flow│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I     │ IDENTIFY PAIN — The critical business crisis driving urgency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C     │ CHAMPION — The internal advocate with power who sells for us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└──────────┴──────────────────────────────────────────────────────────────────┘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 The 7 Pillars of MEDDPIC Applied to Bangladesh Banking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36248"/>
            <wp:docPr id="3" name="Picture 3" descr="Economic buyer ROI and capital payback graphics" title="Figure 3: Economic Buyer Justification — Quantified Payback &amp; TCO Reduction Mod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kp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Economic Buyer Justification — Quantified Payback &amp; TCO Reduction Models</w:t>
      </w:r>
    </w:p>
    <w:p>
      <w:pPr>
        <w:pStyle w:val="Heading3"/>
        <w:keepNext/>
      </w:pPr>
      <w:r>
        <w:t>M — Metrics (Quantifiable Business Impact)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Current average loan turnaround time (TAT) across retail and SME loans (e.g., 21 days).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Annual loan origination file volume (e.g., 25,000 files/year).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Current gross NPL ratio and annual loan loss provisioning expense.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Direct staffing cost allocated to branch credit memos and BOCC paper preparation.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Our Benchmark Metric Target: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Can we demonstrate an 85% TAT reduction (from 21 days to 48 hours)?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Can we show a 0.5%–1.0% reduction in portfolio loss through automated CIB deduplication?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Can we prove full capital payback in under 9 months?</w:t>
      </w:r>
    </w:p>
    <w:p>
      <w:pPr>
        <w:pStyle w:val="Heading3"/>
        <w:keepNext/>
      </w:pPr>
      <w:r>
        <w:t>E — Economic Buyer (The Ultimate Decision Authority)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Who has the authority to release BDT 3 to 6 Crore without needing higher approval?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In scheduled commercial banks, the Economic Buyer is almost always the </w:t>
      </w:r>
      <w:r>
        <w:rPr>
          <w:rFonts w:ascii="Calibri" w:hAnsi="Calibri" w:eastAsia="Calibri"/>
          <w:b/>
          <w:i w:val="0"/>
          <w:color w:val="222222"/>
          <w:sz w:val="19"/>
        </w:rPr>
        <w:t>Managing Director / CEO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or the </w:t>
      </w:r>
      <w:r>
        <w:rPr>
          <w:rFonts w:ascii="Calibri" w:hAnsi="Calibri" w:eastAsia="Calibri"/>
          <w:b/>
          <w:i w:val="0"/>
          <w:color w:val="222222"/>
          <w:sz w:val="19"/>
        </w:rPr>
        <w:t>Chairman of the Board ICT Committee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A Head of Retail or Head of IT is </w:t>
      </w:r>
      <w:r>
        <w:rPr>
          <w:rFonts w:ascii="Calibri" w:hAnsi="Calibri" w:eastAsia="Calibri"/>
          <w:b/>
          <w:i w:val="0"/>
          <w:color w:val="222222"/>
          <w:sz w:val="19"/>
        </w:rPr>
        <w:t>NOT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Economic Buyer; they are evaluators or champions.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Key Test: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Have we had a direct, strategic conversation with the MD or Board ICT Chair? If not, the deal is NOT fully qualified.</w:t>
      </w:r>
    </w:p>
    <w:p>
      <w:pPr>
        <w:pStyle w:val="Heading3"/>
        <w:keepNext/>
      </w:pPr>
      <w:r>
        <w:t>D — Decision Criteria (The Evaluation Yardstick)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Technical Criteria: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On-premise air-gapped deployment, REST APIs, PostgreSQL 17, CBS compatibility (T24, FLEXCUBE, Finacle).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Functional Criteria: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Native 7-stage BRPD 15/2024 classification, automated CIB Online REST, IFRS-9 ECL staging, offline mobile field app.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Commercial Criteria: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BDT domestic billing, total 5-year TCO, 20% capped AMC, milestone-based payments.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Risk Criteria: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ISO 27001, local 24/7 on-site support SLA, corporate longevity (Smart Technologies BD Ltd).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Our Goal: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Influence the bank's RFP to reflect our specific strengths before the tender is publicly released.</w:t>
      </w:r>
    </w:p>
    <w:p>
      <w:pPr>
        <w:pStyle w:val="Heading3"/>
        <w:keepNext/>
      </w:pPr>
      <w:r>
        <w:t>D — Decision Process (The Governance Roadmap)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are the exact steps to go from demonstration to contract award?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Typical Bangladesh Bank Procurement Chain: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1. Technical Evaluation Committee (TEC) Review &amp; Demo Scoring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2. Head of Procurement Commercial Envelope Opening (QCBS)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3. Management Committee (MANCOM) Review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4. Board ICT Steering Committee Recommendation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5. Full Board of Directors Approval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Key Test: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 we know the exact dates of the next Board ICT Committee and MANCOM meetings?</w:t>
      </w:r>
    </w:p>
    <w:p>
      <w:pPr>
        <w:pStyle w:val="Heading3"/>
        <w:keepNext/>
      </w:pPr>
      <w:r>
        <w:t>P — Paper Process (The Contracting &amp; Legal Path)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Is this procurement governed by the Public Procurement Rules (PPR 2008) (common for SOCBs and state-linked entities) or the bank's private purchase policy?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Who reviews the Master Software License Agreement (MSLA) and SLA? (Internal legal counsel or external law firm?)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security clearances, tax certificates (TIN, BIN), or bank guarantees (Performance Guarantee 10%) are required?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How long does legal and procurement typically take to issue a Work Order after Board approval? (Average: 30 to 60 days).</w:t>
      </w:r>
    </w:p>
    <w:p>
      <w:pPr>
        <w:pStyle w:val="Heading3"/>
        <w:keepNext/>
      </w:pPr>
      <w:r>
        <w:t>I — Identify Pain (The Compelling Compulsion to Act)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Why must the bank buy NOW instead of waiting another year?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Compelling Events in 2026/2027: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Impending </w:t>
      </w:r>
      <w:r>
        <w:rPr>
          <w:rFonts w:ascii="Calibri" w:hAnsi="Calibri" w:eastAsia="Calibri"/>
          <w:b/>
          <w:i w:val="0"/>
          <w:color w:val="222222"/>
          <w:sz w:val="19"/>
        </w:rPr>
        <w:t>Bangladesh Bank BRPD Circular 15/2024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audit inspection with threatened fines for inaccurate 7-stage classification.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The </w:t>
      </w:r>
      <w:r>
        <w:rPr>
          <w:rFonts w:ascii="Calibri" w:hAnsi="Calibri" w:eastAsia="Calibri"/>
          <w:b/>
          <w:i w:val="0"/>
          <w:color w:val="222222"/>
          <w:sz w:val="19"/>
        </w:rPr>
        <w:t>December 31, 2027 statutory deadline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for mandatory IFRS-9 forward-looking Expected Credit Loss provisioning.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>Sudden surge in retail/SME NPLs forcing the Board to mandate automated underwriting.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>Failure or cancellation of an internal IT software build after 2 years of delays.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Key Test: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If there is no burning pain or deadline, the bank will default to doing nothing.</w:t>
      </w:r>
    </w:p>
    <w:p>
      <w:pPr>
        <w:pStyle w:val="Heading3"/>
        <w:keepNext/>
      </w:pPr>
      <w:r>
        <w:t>C — Champion (Our Internal Power Ally)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What We Must Uncover: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Who inside the bank will actively fight for Unisoft when we are not in the room?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Characteristics of a True Champion: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>They have personal political capital and influence with the Managing Director.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>They have a personal stake in the project’s success (e.g., their promotion depends on modernizing digital lending).</w:t>
      </w:r>
    </w:p>
    <w:p>
      <w:pPr>
        <w:pStyle w:val="ListBullet"/>
        <w:spacing w:after="40" w:line="276" w:lineRule="auto"/>
        <w:ind w:left="680"/>
      </w:pPr>
      <w:r>
        <w:rPr>
          <w:rFonts w:ascii="Calibri" w:hAnsi="Calibri" w:eastAsia="Calibri"/>
          <w:b w:val="0"/>
          <w:i w:val="0"/>
          <w:color w:val="222222"/>
          <w:sz w:val="19"/>
        </w:rPr>
        <w:t>They share insider information with us (competitor bids, budget limits, committee dynamics).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Typical Champions: Forward-looking Head of Retail Banking, Head of SME, or Chief Information Officer.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Key Test: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If our "champion" cannot get us a meeting with the Managing Director, they are a coach, not a champion.</w:t>
      </w:r>
    </w:p>
    <w:p>
      <w:pPr>
        <w:pStyle w:val="Heading2"/>
        <w:keepNext/>
      </w:pPr>
      <w:r>
        <w:t>3. The 50-Question Banking Discovery Questionnaire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Use these questions during Stage 2 Discovery calls to systematically diagnose the opportunity:</w:t>
      </w:r>
    </w:p>
    <w:p>
      <w:pPr>
        <w:pStyle w:val="Heading3"/>
        <w:keepNext/>
      </w:pPr>
      <w:r>
        <w:t>Category 1: Current Credit Operations &amp; Metrics (Questions 1–10)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your bank's current average turnaround time (TAT) from customer application to fund disbursement?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many physical hands or desks does a typical retail credit memo pass through before final approval?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percentage of retail or SME applications are abandoned by borrowers due to verification delays?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many total active loan accounts does your bank currently manage across all branches?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your annual new loan origination volume (in BDT value and file count)?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many branch officers are dedicated to manual credit assessment and paper memo compilation?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long does your Branch Officers Credit Committee (BOCC) take to review weekly loan files?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your current gross Non-Performing Loan (NPL) ratio, and what is the Board’s target for this year?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was your total provisioning charge on credit assets in the last audited fiscal year?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specific operational efficiency metric has the Managing Director tasked your division with achieving?</w:t>
      </w:r>
    </w:p>
    <w:p>
      <w:pPr>
        <w:pStyle w:val="Heading3"/>
        <w:keepNext/>
      </w:pPr>
      <w:r>
        <w:t>Category 2: Regulatory Compliance &amp; Risk Pain Points (Questions 11–20)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is your bank currently executing the 7-stage loan classification mandated under BRPD Circular 15/2024?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Is your DPD calculation and stage migration fully automated, or does it rely on manual branch reporting?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do you currently handle central bank eligible collateral deduction during provisioning calculations?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your roadmap for complying with the mandatory IFRS-9 Expected Credit Loss deadline by December 2027?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many hours or days does your CIB cell take to return a credit report for a new loan applicant?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does your credit team currently verify whether an applicant has taken loans from other banks in the same week?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do you calculate and verify the borrower's Debt Burden Ratio (DBR) against central bank ceilings?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Have you ever faced regulatory audit citations or restatement orders from Bangladesh Bank regarding loan classification?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do you verify borrower National ID (NID) and facial biometrics during onboarding?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is your bank handling beneficial ownership tracking ($\ge 20\%$) under recent BFIU AML/CFT directives?</w:t>
      </w:r>
    </w:p>
    <w:p>
      <w:pPr>
        <w:pStyle w:val="Heading3"/>
        <w:keepNext/>
      </w:pPr>
      <w:r>
        <w:t>Category 3: IT Infrastructure &amp; Core Banking Integration (Questions 21–30)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Which Core Banking System (CBS) and version is your bank running (e.g., Temenos T24, FLEXCUBE, Finacle, Flora Bank)?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Is your CBS hosted entirely on-premise within your primary datacenter, and where is your DR site located?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Does your bank IT policy permit the use of modern microservices or modular architectures running on Linux/PostgreSQL?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does your CBS currently expose APIs for external applications (e.g., REST, SOAP, database staging)?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has been your IT department's experience with previous core banking integration projects?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Does your IT team prefer on-premises bare metal, VMware, or containerized deployments (k3s/Kubernetes)?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are your bank's mandatory Disaster Recovery targets for RPO (Recovery Point) and RTO (Recovery Time)?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does your IT security team enforce Multi-Factor Authentication (MFA) and Single Sign-On (SSO)?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Has your IT team attempted to build an in-house lending workflow system, and what is its current status?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Who is the primary enterprise architect responsible for approving third-party software integration?</w:t>
      </w:r>
    </w:p>
    <w:p>
      <w:pPr>
        <w:pStyle w:val="Heading3"/>
        <w:keepNext/>
      </w:pPr>
      <w:r>
        <w:t>Category 4: Decision Criteria &amp; Competitor Dynamics (Questions 31–40)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are the top three technical and functional criteria your evaluation committee will score vendors on?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other solutions or vendors is the bank currently evaluating (e.g., Finastra, Temenos, Nucleus, Finacle)?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feedback or reservations has the committee expressed regarding foreign software vendors?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Does the bank have a policy preference regarding local domestic software vendors versus international packages?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the committee's stance on foreign exchange licensing liabilities given current central bank foreign currency controls?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Is 24/7 on-site technical support in Dhaka considered a mandatory or weighted evaluation requirement?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Does your bank require a dual-core platform that natively supports Islamic Shariah financing modes?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How important is an offline mobile field agent application for your SME and rural lending operations?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the maximum acceptable implementation timeline from contract signing to live branch pilot?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the single biggest risk that would cause the committee to reject a software vendor?</w:t>
      </w:r>
    </w:p>
    <w:p>
      <w:pPr>
        <w:pStyle w:val="Heading3"/>
        <w:keepNext/>
      </w:pPr>
      <w:r>
        <w:t>Category 5: Decision Process, Procurement &amp; Budget (Questions 41–50)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Who is the formal Economic Buyer who will sign off on the financial expenditure for this project?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Has capital budget already been formally allocated for this project in the current fiscal year?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the budgeted investment range for software licenses, implementation, and first-year maintenance?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Will this procurement be conducted through an open public tender, limited tender, or direct vendor selection?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are the specific steps and committees required to advance from technical scoring to final Board approval?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When does the Board ICT Steering Committee meet next to review major technology investments?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is the expected timeline for issuing a formal Request for Proposal (RFP) or Expression of Interest (EOI)?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Who from your legal, finance, and procurement departments will be involved in contract negotiations?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What standard contractual terms (e.g., performance guarantees, warranty periods, SLA penalties) does your bank require?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If our solution meets 100% of your functional and regulatory criteria, what would prevent us from signing a contract within 90 days?</w:t>
      </w:r>
    </w:p>
    <w:p>
      <w:pPr>
        <w:pStyle w:val="Heading2"/>
        <w:keepNext/>
      </w:pPr>
      <w:r>
        <w:t>4. Opportunity Scoring Rubric (RAG Gates)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Before committing senior engineering and pre-sales resources to an RFP response or extensive custom demonstration, the Account Executive must complete this rubric: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ULMS OPPORTUNITY QUALIFICATION RUBRIC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├─────────┬──────────────────────┬──────────────────────┬─────────────────────┤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PILLAR  │ RED (Unqualified)    │ AMBER (Conditional) │ GREEN (Fully Ready)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METRICS │ No clear TAT or NPL  │ High-level pain but  │ Hard metrics agreed:│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│ data; "just looking" │ unquantified costs   │ 21d TAT, 12% NPLs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ECONOMIC│ No access to MD/CFO; │ Meeting with Head of │ Direct access to MD,│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BUYER   │ dealing only with IT │ Retail or Head of IT │ CFO, or Board Chair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DECISION│ Criteria favor a     │ Standard functional  │ Criteria aligned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CRITERIA│ foreign vendor brand │ requirements draft   │ with local BRPD/CIB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DECISION│ Unclear steps;       │ General timeline;    │ Exact dates for TEC,│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PROCESS │ "committee will see" │ 3-stage process      │ MANCOM &amp; Board meet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PAPER   │ Unknown tender rules │ Standard procurement │ Clear two-envelope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PROCESS │ or legal guidelines  │ timeline (60 days)   │ QCBS &amp; contract path│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IDENTIFY│ No urgent deadline;  │ Growing manual loan  │ Hard deadline: BRPD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PAIN    │ "evaluating for future"│ processing backlog │ 15/2024 / IFRS-9 ECL│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├─────────┼──────────────────────┼──────────────────────┼─────────────────────┤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CHAMPION│ Contact is neutral   │ Contact likes ULMS   │ Active champion who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│ or non-responsive    │ but lacks power      │ advocates with MD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└─────────┴──────────────────────┴──────────────────────┴─────────────────────┘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Deal Progression Rules: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GREEN STATUS (5+ Green Pillars):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Priority 1 Deal. Commit Lead Solution Architect, prepare customized demo sandbox, offer structured 14-day PoC.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AMBER STATUS (3–4 Green Pillars):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Priority 2 Deal. Conduct executive nurturing; invite Champion to Unisoft headquarters; schedule MD briefing.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RED STATUS (&lt;3 Green Pillars):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Priority 3 / Disqualified. Nurture via marketing newsletter and whitepaper distribution. Do NOT commit custom engineering or write bespoke tender responses.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Enterprise Sales Operations.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MEDDPIC Enterprise Deal Qualification &amp; Disco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MEDDPIC Enterprise Deal Qualification &amp; Discovery Questionnaire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