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Competitive Battlecard: ULMS v2.0 vs. Finastra Fusion Loan IQ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DOC-11-BAT-01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DOC-11-BAT-01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Confidential Internal Sales Enablement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[account_executive, solution_architect, sales_director]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Winning Enterprise Core Lending Opportunities Against Finastra in Bangladesh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Streamlined loan origination workflow" title="Figure 1: Usability Advantage — Agile Digital Origination vs. Finastra Legacy Monoli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Usability Advantage — Agile Digital Origination vs. Finastra Legacy Monolith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DOC-11-SALES-05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Target Competitor: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Finastra (London, UK) — Fusion Loan IQ / Fusion Essence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Author: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Head of Business Development &amp; Competitive Intelligence Lead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Internal Commercial Strategy Asset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p>
      <w:pPr>
        <w:pStyle w:val="Heading2"/>
        <w:keepNext/>
      </w:pPr>
      <w:r>
        <w:t>1. Competitor Overview &amp; Market Footprint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36248"/>
            <wp:docPr id="2" name="Picture 2" descr="Financial comparison graph showing massive cost savings vs Finastra" title="Figure 2: Commercial Advantage — 5-Year TCO Comparison &amp; BDT 89 Crore Cost Avoid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kp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3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Commercial Advantage — 5-Year TCO Comparison &amp; BDT 89 Crore Cost Avoidance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Finastra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is a global financial software giant formed by the merger of Misys and D+H, headquartered in London. Its flagship lending product, </w:t>
      </w:r>
      <w:r>
        <w:rPr>
          <w:rFonts w:ascii="Calibri" w:hAnsi="Calibri" w:eastAsia="Calibri"/>
          <w:b/>
          <w:i w:val="0"/>
          <w:color w:val="222222"/>
          <w:sz w:val="19"/>
        </w:rPr>
        <w:t>Fusion Loan IQ</w:t>
      </w:r>
      <w:r>
        <w:rPr>
          <w:rFonts w:ascii="Calibri" w:hAnsi="Calibri" w:eastAsia="Calibri"/>
          <w:b w:val="0"/>
          <w:i w:val="0"/>
          <w:color w:val="222222"/>
          <w:sz w:val="19"/>
        </w:rPr>
        <w:t>, is widely recognized as the global market leader in complex commercial syndicated lending, handling approximately 70% of global syndicated loan volume.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FINASTRA FUSION LOAN IQ PROFILE 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├─────────────────────┬───────────────────────────────────────────────────────┤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Headquarters        │ London, United Kingdom          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Core Specialty      │ Multi-currency commercial syndicated loans &amp; agency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Target Client Base  │ Tier-1 Global Mega-Banks (Citibank, HSBC, Barclays)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Typical Deal Size   │ $3,000,000 to $6,000,000+ USD License + Implementation│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Annual Maintenance  │ 22% to 25% USD-denominated recurring maintenance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Deployment Timeline │ 18 to 24+ Months (Heavy external systems integration)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Bangladesh Presence │ Zero permanent engineering development center in Dhaka│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└─────────────────────┴───────────────────────────────────────────────────────┘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 Finastra's Strengths (What the Bank Believes)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 descr="Automated classification engine demonstrating turnkey Bangladesh compliance" title="Figure 3: Compliance Speed — Instant BRPD 15 Engine vs. Finastra Multi-Month Customization La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class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Compliance Speed — Instant BRPD 15 Engine vs. Finastra Multi-Month Customization Lag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Global Brand Stature: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Tier-1 international brand with widespread Wall Street and City of London credibility.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Complex Syndicated Lending: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Unsurpassed depth in multi-currency, multi-tranche syndicated facility accounting and agency bank workflows.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Basel III Capital Modules: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Sophisticated risk-weighted asset calculations designed for international regulatory regimes.</w:t>
      </w:r>
    </w:p>
    <w:p>
      <w:pPr>
        <w:pStyle w:val="Heading2"/>
        <w:keepNext/>
      </w:pPr>
      <w:r>
        <w:t>3. Finastra's Critical Vulnerabilities in Bangladesh</w:t>
      </w:r>
    </w:p>
    <w:p>
      <w:pPr>
        <w:pStyle w:val="Heading3"/>
        <w:keepNext/>
      </w:pPr>
      <w:r>
        <w:t>Vulnerability 1: Astronomical Capital &amp; Foreign Currency Drain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Reality: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Finastra licenses start at </w:t>
      </w:r>
      <w:r>
        <w:rPr>
          <w:rFonts w:ascii="Calibri" w:hAnsi="Calibri" w:eastAsia="Calibri"/>
          <w:b/>
          <w:i w:val="0"/>
          <w:color w:val="222222"/>
          <w:sz w:val="19"/>
        </w:rPr>
        <w:t>$3.0M to $5.0M USD (BDT 35 to 60+ Crore)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with implementation consulting adding another $1.0M to $2.0M USD.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Forex Penalty: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Recurring annual maintenance contracts (AMC) require substantial dollar remittances, requiring Bangladesh Bank foreign exchange approvals that face strict regulatory scrutiny in the current macroeconomic climate.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ULMS Win Theme: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ULMS v2.0 is priced at </w:t>
      </w:r>
      <w:r>
        <w:rPr>
          <w:rFonts w:ascii="Calibri" w:hAnsi="Calibri" w:eastAsia="Calibri"/>
          <w:b/>
          <w:i w:val="0"/>
          <w:color w:val="222222"/>
          <w:sz w:val="19"/>
        </w:rPr>
        <w:t>BDT 3 to 6 Crore all-inclusive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 local currency—delivering an immediate </w:t>
      </w:r>
      <w:r>
        <w:rPr>
          <w:rFonts w:ascii="Calibri" w:hAnsi="Calibri" w:eastAsia="Calibri"/>
          <w:b/>
          <w:i w:val="0"/>
          <w:color w:val="222222"/>
          <w:sz w:val="19"/>
        </w:rPr>
        <w:t>85% capital expenditure reduction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with zero foreign exchange liability.</w:t>
      </w:r>
    </w:p>
    <w:p>
      <w:pPr>
        <w:pStyle w:val="Heading3"/>
        <w:keepNext/>
      </w:pPr>
      <w:r>
        <w:t>Vulnerability 2: Mismatched Architecture (The Syndicated Overkill Trap)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Reality: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Finastra Loan IQ was built for international cross-border syndicated finance. In Bangladesh, over 80% of bank lending volume is comprised of </w:t>
      </w:r>
      <w:r>
        <w:rPr>
          <w:rFonts w:ascii="Calibri" w:hAnsi="Calibri" w:eastAsia="Calibri"/>
          <w:b/>
          <w:i w:val="0"/>
          <w:color w:val="222222"/>
          <w:sz w:val="19"/>
        </w:rPr>
        <w:t>Retail Consumer Loans, MSME Working Capital, and Islamic Shariah Financing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Functional Void: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Loan IQ has virtually no native capability for: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Field officer mobile applications for rural/semi-urban SME visits.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Real-time automated Bangladesh Bank CIB Online REST inquiries.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Election Commission NIDW biometric e-KYC integration.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Native Islamic Murabaha, Ijara, and Diminishing Musharaka financing modes.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ULMS Win Theme: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ULMS v2.0 was designed natively for Bangladesh’s retail, SME, and Islamic market reality, delivering high-speed automated credit decisioning out of the box.</w:t>
      </w:r>
    </w:p>
    <w:p>
      <w:pPr>
        <w:pStyle w:val="Heading3"/>
        <w:keepNext/>
      </w:pPr>
      <w:r>
        <w:t>Vulnerability 3: Zero Native Bangladesh Bank Regulatory Compliance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Reality: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Finastra does not track Bangladesh Bank BRPD circulars. To comply with </w:t>
      </w:r>
      <w:r>
        <w:rPr>
          <w:rFonts w:ascii="Calibri" w:hAnsi="Calibri" w:eastAsia="Calibri"/>
          <w:b/>
          <w:i w:val="0"/>
          <w:color w:val="222222"/>
          <w:sz w:val="19"/>
        </w:rPr>
        <w:t>BRPD Circular 15/2024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(the 7-stage classification framework: STD-0, STD-1, STD-2, SMA, SS, DF, B/L), the bank must hire expensive third-party system integrators to write custom scripting on top of Finastra.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Regulatory Risk: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Every time Bangladesh Bank amends a provisioning circular, the bank must negotiate an expensive change order with Finastra's offshore team.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ULMS Win Theme: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ULMS v2.0 embeds BRPD 15/2024, CIB Online, and IFRS-9 ECL staging natively in its core engine, with guaranteed free regulatory updates under standard AMC.</w:t>
      </w:r>
    </w:p>
    <w:p>
      <w:pPr>
        <w:pStyle w:val="Heading3"/>
        <w:keepNext/>
      </w:pPr>
      <w:r>
        <w:t>Vulnerability 4: Remote Offshore Support with Zero Local Dhaka Engineers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Reality: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Finastra services Bangladesh through offshore centers in India or Europe. They have </w:t>
      </w:r>
      <w:r>
        <w:rPr>
          <w:rFonts w:ascii="Calibri" w:hAnsi="Calibri" w:eastAsia="Calibri"/>
          <w:b/>
          <w:i w:val="0"/>
          <w:color w:val="222222"/>
          <w:sz w:val="19"/>
        </w:rPr>
        <w:t>zero dedicated engineering development center in Dhaka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Support Pain: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When a critical End-of-Day (EOD) classification batch stalls before a central bank inspection, the bank must log an offshore ticket and wait hours for a remote callback.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The ULMS Win Theme: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provides a dedicated Tier-1/2/3 engineering center at </w:t>
      </w:r>
      <w:r>
        <w:rPr>
          <w:rFonts w:ascii="Calibri" w:hAnsi="Calibri" w:eastAsia="Calibri"/>
          <w:b/>
          <w:i w:val="0"/>
          <w:color w:val="222222"/>
          <w:sz w:val="19"/>
        </w:rPr>
        <w:t>Youth Tower, Begum Rokeya Sarani, Dhaka</w:t>
      </w:r>
      <w:r>
        <w:rPr>
          <w:rFonts w:ascii="Calibri" w:hAnsi="Calibri" w:eastAsia="Calibri"/>
          <w:b w:val="0"/>
          <w:i w:val="0"/>
          <w:color w:val="222222"/>
          <w:sz w:val="19"/>
        </w:rPr>
        <w:t>, with guaranteed 30-minute on-site response during emergencies.</w:t>
      </w:r>
    </w:p>
    <w:p>
      <w:pPr>
        <w:pStyle w:val="Heading2"/>
        <w:keepNext/>
      </w:pPr>
      <w:r>
        <w:t>4. Head-to-Head Feature &amp; Commercial Comparison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Evaluation Dimension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Finastra Fusion Loan IQ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Unisoft ULMS v2.0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Competitive Advantage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License &amp; Implementation Cost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$4.0M – $7.0M USD (৳45 – 80+ Cr)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৳3.0 – 6.0 Crore BDT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85% Lower TCO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Billing Currency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Foreign Currency (USD / GBP)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100% Domestic Currency (BDT)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Zero Forex Risk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Annual Maintenance (AMC)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22% – 25% (in USD)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20% Capped (in BDT)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Predictable Budget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Implementation Timeline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18 – 24+ Months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12 Weeks to Pilot Go-Live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6x Faster Time to Value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BRPD 15/2024 7-Stage Classification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❌ Custom Scripting Required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✅ 100% Native Out-of-the-Box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Zero Regulatory Risk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IFRS-9 ECL Forward-Looking Staging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❌ Expensive Add-on Consulting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✅ Native Mathematical Engine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Pre-Configured for 2027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Bangladesh Bank CIB Online REST API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❌ Manual Export / Custom API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✅ Automated Machine-to-Machine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Instant Dedupe &amp; Scores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Election Commission NIDW e-KYC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❌ Third-Party Middleware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✅ Native Porichoy/NIDW Interface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Instant Biometric Match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Islamic Shariah Financing Modes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❌ Limited / Separate Package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✅ Native Murabaha/Ijara/Musharaka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Full Dual-Core Engine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Field Agent Offline Mobile App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❌ Desktop / Web Only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✅ Offline React Native App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Total Field Enablement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Local Engineering Team in Dhaka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❌ None (Offshore Remote)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✅ 40+ Engineers in Youth Tower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ULMS: 30-Minute On-Site SLA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 Trap-Setting Questions for RFP &amp; Selection Committees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Arm your internal champion (Head of Retail, Head of IT, or CFO) with these questions to ask during Finastra vendor presentations: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"Does your platform support Bangladesh Bank's 7-stage classification under BRPD Circular 15/2024 out of the box, or will our bank have to pay for custom development?"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Expected Finastra Flounder: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They will admit it requires custom configuration and scripting.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"Can your platform execute real-time automated REST API inquiries into the Bangladesh Bank CIB Online system without requiring third-party middleware?"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Expected Finastra Flounder: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They will state that local credit bureau integration is an implementation-phase custom task.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"Does Finastra maintain a permanent engineering office in Dhaka with full-time staff who can be on-site in our datacenter within 30 minutes in an outage?"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Expected Finastra Flounder: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They will have to acknowledge that technical support is delivered remotely from offshore centers.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"Can Finastra accept 100% of license, implementation, and recurring AMC payments in BDT without requiring central bank foreign exchange outward remittance approvals?"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Expected Finastra Flounder: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They must confirm that licensing requires foreign currency remittance.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"How does your system enforce Shariah asset possession and title transfer sequence for Islamic Murabaha and Ijara financing?"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Expected Finastra Flounder: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Loan IQ has no native asset-trading workflow for Islamic banking.</w:t>
      </w:r>
    </w:p>
    <w:p>
      <w:pPr>
        <w:pStyle w:val="Heading2"/>
        <w:keepNext/>
      </w:pPr>
      <w:r>
        <w:t>6. Winning Strategy Playbook Against Finastra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THE 3-STEP PLAY TO DEFEAT FINASTRA 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1. REFRAME SCOPE: Expose the "Syndicated Overkill" Trap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Prove to the Board that 85% of the bank's revenue comes from Retail,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SME, and Islamic loans where Finastra is weak, expensive, and unsuited.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2. EXPLOIT REGULATORY FEAR: Highlight BRPD 15/2024 &amp; IFRS-9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Show the Chief Risk Officer that Finastra lacks native compliance with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central bank directives and will expose the bank to audit citations.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3. DELIVER THE MATHEMATICAL KNOCKOUT: 85% TCO Savings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Supply the CFO with DOC-32 showing that ULMS saves ৳30+ Crore over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5 years, has zero Forex drain, and goes live in 12 weeks.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Competitive Intelligence Division.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Competitive Battlecard: ULMS v2.0 vs. Finastr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Battlecard: ULMS v2.0 vs. Finastra Fusion Loan IQ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