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Master RFP Financial Proposal &amp; Cost Breakdown Template (Envelope-2)</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DOC-24-BID-02</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DOC-24-BID-02</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Confidential Commercial Bid Asset</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[cfo, bid_manager, head_of_procurement, sales_director]</w:t>
            </w:r>
          </w:p>
        </w:tc>
      </w:tr>
    </w:tbl>
    <w:p>
      <w:pPr>
        <w:spacing w:after="80"/>
      </w:pPr>
    </w:p>
    <w:p>
      <w:pPr>
        <w:pStyle w:val="Heading2"/>
        <w:keepNext/>
      </w:pPr>
      <w:r>
        <w:t>Quality and Cost-Based Selection (QCBS) Commercial Bid for Bangladesh Scheduled Commercial Banks</w:t>
      </w:r>
    </w:p>
    <w:p>
      <w:pPr>
        <w:keepNext/>
        <w:spacing w:before="160" w:after="40"/>
        <w:jc w:val="center"/>
      </w:pPr>
      <w:r>
        <w:drawing>
          <wp:inline xmlns:a="http://schemas.openxmlformats.org/drawingml/2006/main" xmlns:pic="http://schemas.openxmlformats.org/drawingml/2006/picture">
            <wp:extent cx="5688000" cy="1436248"/>
            <wp:docPr id="1" name="Picture 1" descr="Financial metrics chart illustrating payback horizon" title="Figure 1: Financial Evaluation — Total Capital Recovery &amp; 5-Year TCO Comparison Model"/>
            <wp:cNvGraphicFramePr>
              <a:graphicFrameLocks noChangeAspect="1"/>
            </wp:cNvGraphicFramePr>
            <a:graphic>
              <a:graphicData uri="http://schemas.openxmlformats.org/drawingml/2006/picture">
                <pic:pic>
                  <pic:nvPicPr>
                    <pic:cNvPr id="0" name="E7_kpis.png"/>
                    <pic:cNvPicPr/>
                  </pic:nvPicPr>
                  <pic:blipFill>
                    <a:blip r:embed="rId11"/>
                    <a:stretch>
                      <a:fillRect/>
                    </a:stretch>
                  </pic:blipFill>
                  <pic:spPr>
                    <a:xfrm>
                      <a:off x="0" y="0"/>
                      <a:ext cx="5688000" cy="1436248"/>
                    </a:xfrm>
                    <a:prstGeom prst="rect"/>
                  </pic:spPr>
                </pic:pic>
              </a:graphicData>
            </a:graphic>
          </wp:inline>
        </w:drawing>
      </w:r>
    </w:p>
    <w:p>
      <w:pPr>
        <w:spacing w:before="40" w:after="160"/>
        <w:jc w:val="center"/>
      </w:pPr>
      <w:r>
        <w:rPr>
          <w:rFonts w:ascii="Calibri" w:hAnsi="Calibri" w:eastAsia="Calibri"/>
          <w:b/>
          <w:i/>
          <w:color w:val="555555"/>
          <w:sz w:val="17"/>
        </w:rPr>
        <w:t>Figure 1: Financial Evaluation — Total Capital Recovery &amp; 5-Year TCO Comparison Model</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DOC-24-BID-02</w:t>
      </w:r>
    </w:p>
    <w:p>
      <w:pPr>
        <w:spacing w:after="80" w:line="276" w:lineRule="auto"/>
      </w:pPr>
      <w:r>
        <w:rPr>
          <w:rFonts w:ascii="Calibri" w:hAnsi="Calibri" w:eastAsia="Calibri"/>
          <w:b/>
          <w:i w:val="0"/>
          <w:color w:val="222222"/>
          <w:sz w:val="19"/>
        </w:rPr>
        <w:t>Procurement Reference:</w:t>
      </w:r>
      <w:r>
        <w:rPr>
          <w:rFonts w:ascii="Calibri" w:hAnsi="Calibri" w:eastAsia="Calibri"/>
          <w:b w:val="0"/>
          <w:i w:val="0"/>
          <w:color w:val="222222"/>
          <w:sz w:val="19"/>
        </w:rPr>
        <w:t xml:space="preserve"> Standard Two-Envelope Banking RFP Financial Submission</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Chief Financial Officer &amp; Head of Bid Management</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Confidential Commercial Bid Asset</w:t>
      </w:r>
    </w:p>
    <w:p>
      <w:pPr>
        <w:spacing w:after="80" w:line="276" w:lineRule="auto"/>
      </w:pPr>
      <w:r>
        <w:rPr>
          <w:rFonts w:ascii="Calibri" w:hAnsi="Calibri" w:eastAsia="Calibri"/>
          <w:b/>
          <w:i w:val="0"/>
          <w:color w:val="222222"/>
          <w:sz w:val="19"/>
        </w:rPr>
        <w:t>Version:</w:t>
      </w:r>
      <w:r>
        <w:rPr>
          <w:rFonts w:ascii="Calibri" w:hAnsi="Calibri" w:eastAsia="Calibri"/>
          <w:b w:val="0"/>
          <w:i w:val="0"/>
          <w:color w:val="222222"/>
          <w:sz w:val="19"/>
        </w:rPr>
        <w:t xml:space="preserve"> 2.0.0</w:t>
      </w:r>
    </w:p>
    <w:p>
      <w:pPr>
        <w:pStyle w:val="Heading2"/>
        <w:keepNext/>
      </w:pPr>
      <w:r>
        <w:t>1. Financial Proposal Submission Form</w:t>
      </w:r>
    </w:p>
    <w:p>
      <w:pPr>
        <w:keepNext/>
        <w:spacing w:before="160" w:after="40"/>
        <w:jc w:val="center"/>
      </w:pPr>
      <w:r>
        <w:drawing>
          <wp:inline xmlns:a="http://schemas.openxmlformats.org/drawingml/2006/main" xmlns:pic="http://schemas.openxmlformats.org/drawingml/2006/picture">
            <wp:extent cx="5688000" cy="3199500"/>
            <wp:docPr id="2" name="Picture 2" descr="Portfolio analytics interface" title="Figure 2: Operational Value — Portfolio Health &amp; Cost Optimization Analytics"/>
            <wp:cNvGraphicFramePr>
              <a:graphicFrameLocks noChangeAspect="1"/>
            </wp:cNvGraphicFramePr>
            <a:graphic>
              <a:graphicData uri="http://schemas.openxmlformats.org/drawingml/2006/picture">
                <pic:pic>
                  <pic:nvPicPr>
                    <pic:cNvPr id="0" name="s01_home.png"/>
                    <pic:cNvPicPr/>
                  </pic:nvPicPr>
                  <pic:blipFill>
                    <a:blip r:embed="rId12"/>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2: Operational Value — Portfolio Health &amp; Cost Optimization Analytics</w:t>
      </w:r>
    </w:p>
    <w:p>
      <w:pPr>
        <w:spacing w:after="80" w:line="276" w:lineRule="auto"/>
      </w:pPr>
      <w:r>
        <w:rPr>
          <w:rFonts w:ascii="Calibri" w:hAnsi="Calibri" w:eastAsia="Calibri"/>
          <w:b w:val="0"/>
          <w:i/>
          <w:color w:val="222222"/>
          <w:sz w:val="19"/>
        </w:rPr>
        <w:t>[To be printed on Unisoft Systems Limited Official Letterhead and Sealed in Envelope-2]</w:t>
      </w:r>
    </w:p>
    <w:p>
      <w:pPr>
        <w:spacing w:after="80" w:line="276" w:lineRule="auto"/>
      </w:pPr>
      <w:r>
        <w:rPr>
          <w:rFonts w:ascii="Calibri" w:hAnsi="Calibri" w:eastAsia="Calibri"/>
          <w:b/>
          <w:i w:val="0"/>
          <w:color w:val="222222"/>
          <w:sz w:val="19"/>
        </w:rPr>
        <w:t>Date:</w:t>
      </w:r>
      <w:r>
        <w:rPr>
          <w:rFonts w:ascii="Calibri" w:hAnsi="Calibri" w:eastAsia="Calibri"/>
          <w:b w:val="0"/>
          <w:i w:val="0"/>
          <w:color w:val="222222"/>
          <w:sz w:val="19"/>
        </w:rPr>
        <w:t xml:space="preserve"> [Insert Date]</w:t>
      </w:r>
    </w:p>
    <w:p>
      <w:pPr>
        <w:spacing w:after="80" w:line="276" w:lineRule="auto"/>
      </w:pPr>
      <w:r>
        <w:rPr>
          <w:rFonts w:ascii="Calibri" w:hAnsi="Calibri" w:eastAsia="Calibri"/>
          <w:b/>
          <w:i w:val="0"/>
          <w:color w:val="222222"/>
          <w:sz w:val="19"/>
        </w:rPr>
        <w:t>To:</w:t>
      </w:r>
    </w:p>
    <w:p>
      <w:pPr>
        <w:spacing w:after="80" w:line="276" w:lineRule="auto"/>
      </w:pPr>
      <w:r>
        <w:rPr>
          <w:rFonts w:ascii="Calibri" w:hAnsi="Calibri" w:eastAsia="Calibri"/>
          <w:b w:val="0"/>
          <w:i w:val="0"/>
          <w:color w:val="222222"/>
          <w:sz w:val="19"/>
        </w:rPr>
        <w:t>The Chairman, Proposal Evaluation Committee / Head of Procurement</w:t>
      </w:r>
    </w:p>
    <w:p>
      <w:pPr>
        <w:spacing w:after="80" w:line="276" w:lineRule="auto"/>
      </w:pPr>
      <w:r>
        <w:rPr>
          <w:rFonts w:ascii="Calibri" w:hAnsi="Calibri" w:eastAsia="Calibri"/>
          <w:b w:val="0"/>
          <w:i w:val="0"/>
          <w:color w:val="222222"/>
          <w:sz w:val="19"/>
        </w:rPr>
        <w:t>[Insert Bank Name]</w:t>
      </w:r>
    </w:p>
    <w:p>
      <w:pPr>
        <w:spacing w:after="80" w:line="276" w:lineRule="auto"/>
      </w:pPr>
      <w:r>
        <w:rPr>
          <w:rFonts w:ascii="Calibri" w:hAnsi="Calibri" w:eastAsia="Calibri"/>
          <w:b w:val="0"/>
          <w:i w:val="0"/>
          <w:color w:val="222222"/>
          <w:sz w:val="19"/>
        </w:rPr>
        <w:t>[Insert Bank Head Office Address, Dhaka, Bangladesh]</w:t>
      </w:r>
    </w:p>
    <w:p>
      <w:pPr>
        <w:spacing w:after="80" w:line="276" w:lineRule="auto"/>
      </w:pPr>
      <w:r>
        <w:rPr>
          <w:rFonts w:ascii="Calibri" w:hAnsi="Calibri" w:eastAsia="Calibri"/>
          <w:b/>
          <w:i w:val="0"/>
          <w:color w:val="222222"/>
          <w:sz w:val="19"/>
        </w:rPr>
        <w:t>Subject: Financial Proposal for the Procurement of an Enterprise Loan Management System (LMS) — Tender Ref No: [Insert Tender Reference Number]</w:t>
      </w:r>
    </w:p>
    <w:p>
      <w:pPr>
        <w:spacing w:after="80" w:line="276" w:lineRule="auto"/>
      </w:pPr>
      <w:r>
        <w:rPr>
          <w:rFonts w:ascii="Calibri" w:hAnsi="Calibri" w:eastAsia="Calibri"/>
          <w:b w:val="0"/>
          <w:i w:val="0"/>
          <w:color w:val="222222"/>
          <w:sz w:val="19"/>
        </w:rPr>
        <w:t>Dear Sir/Madam,</w:t>
      </w:r>
    </w:p>
    <w:p>
      <w:pPr>
        <w:spacing w:after="80" w:line="276" w:lineRule="auto"/>
      </w:pPr>
      <w:r>
        <w:rPr>
          <w:rFonts w:ascii="Calibri" w:hAnsi="Calibri" w:eastAsia="Calibri"/>
          <w:b w:val="0"/>
          <w:i w:val="0"/>
          <w:color w:val="222222"/>
          <w:sz w:val="19"/>
        </w:rPr>
        <w:t xml:space="preserve">We, the undersigned, offer to provide the software license, implementation services, data integration, training, and maintenance for the </w:t>
      </w:r>
      <w:r>
        <w:rPr>
          <w:rFonts w:ascii="Calibri" w:hAnsi="Calibri" w:eastAsia="Calibri"/>
          <w:b/>
          <w:i w:val="0"/>
          <w:color w:val="222222"/>
          <w:sz w:val="19"/>
        </w:rPr>
        <w:t>Unisoft Loan Management System (ULMS v2.0)</w:t>
      </w:r>
      <w:r>
        <w:rPr>
          <w:rFonts w:ascii="Calibri" w:hAnsi="Calibri" w:eastAsia="Calibri"/>
          <w:b w:val="0"/>
          <w:i w:val="0"/>
          <w:color w:val="222222"/>
          <w:sz w:val="19"/>
        </w:rPr>
        <w:t xml:space="preserve"> in accordance with your Request for Proposal (RFP) dated [Insert Date] and our Technical Proposal.</w:t>
      </w:r>
    </w:p>
    <w:p>
      <w:pPr>
        <w:spacing w:after="80" w:line="276" w:lineRule="auto"/>
      </w:pPr>
      <w:r>
        <w:rPr>
          <w:rFonts w:ascii="Calibri" w:hAnsi="Calibri" w:eastAsia="Calibri"/>
          <w:b w:val="0"/>
          <w:i w:val="0"/>
          <w:color w:val="222222"/>
          <w:sz w:val="19"/>
        </w:rPr>
        <w:t>Our attached Financial Proposal is for the sum of:</w:t>
      </w:r>
    </w:p>
    <w:p>
      <w:pPr>
        <w:spacing w:after="80" w:line="276" w:lineRule="auto"/>
      </w:pPr>
      <w:r>
        <w:rPr>
          <w:rFonts w:ascii="Calibri" w:hAnsi="Calibri" w:eastAsia="Calibri"/>
          <w:b w:val="0"/>
          <w:i w:val="0"/>
          <w:color w:val="222222"/>
          <w:sz w:val="19"/>
        </w:rPr>
        <w:t>$$\mathbf{BDT\ [Insert\ Amount\ in\ Figures]}\quad (\mathbf{Taka\ [Insert\ Amount\ in\ Words]\ Only)}$$</w:t>
      </w:r>
    </w:p>
    <w:p>
      <w:pPr>
        <w:spacing w:after="80" w:line="276" w:lineRule="auto"/>
      </w:pPr>
      <w:r>
        <w:rPr>
          <w:rFonts w:ascii="Calibri" w:hAnsi="Calibri" w:eastAsia="Calibri"/>
          <w:b w:val="0"/>
          <w:i w:val="0"/>
          <w:color w:val="222222"/>
          <w:sz w:val="19"/>
        </w:rPr>
        <w:t>This amount is inclusive of all local statutory taxes, Advance Income Tax (AIT), and Value Added Tax (VAT) in accordance with the laws of the People's Republic of Bangladesh.</w:t>
      </w:r>
    </w:p>
    <w:p>
      <w:pPr>
        <w:spacing w:after="80" w:line="276" w:lineRule="auto"/>
      </w:pPr>
      <w:r>
        <w:rPr>
          <w:rFonts w:ascii="Calibri" w:hAnsi="Calibri" w:eastAsia="Calibri"/>
          <w:b w:val="0"/>
          <w:i w:val="0"/>
          <w:color w:val="222222"/>
          <w:sz w:val="19"/>
        </w:rPr>
        <w:t xml:space="preserve">Our Financial Proposal shall be binding upon us subject to the modifications resulting from Contract negotiations, up to the expiration of the validity period of the Proposal, i.e., </w:t>
      </w:r>
      <w:r>
        <w:rPr>
          <w:rFonts w:ascii="Calibri" w:hAnsi="Calibri" w:eastAsia="Calibri"/>
          <w:b/>
          <w:i w:val="0"/>
          <w:color w:val="222222"/>
          <w:sz w:val="19"/>
        </w:rPr>
        <w:t>120 (One Hundred Twenty) calendar days</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We confirm that there are no hidden costs, foreign exchange liabilities, or undisclosed recurring fees associated with our proposal.</w:t>
      </w:r>
    </w:p>
    <w:p>
      <w:pPr>
        <w:spacing w:after="80" w:line="276" w:lineRule="auto"/>
      </w:pPr>
      <w:r>
        <w:rPr>
          <w:rFonts w:ascii="Calibri" w:hAnsi="Calibri" w:eastAsia="Calibri"/>
          <w:b w:val="0"/>
          <w:i w:val="0"/>
          <w:color w:val="222222"/>
          <w:sz w:val="19"/>
        </w:rPr>
        <w:t>We remain,</w:t>
      </w:r>
    </w:p>
    <w:p>
      <w:pPr>
        <w:spacing w:after="80" w:line="276" w:lineRule="auto"/>
      </w:pPr>
      <w:r>
        <w:rPr>
          <w:rFonts w:ascii="Calibri" w:hAnsi="Calibri" w:eastAsia="Calibri"/>
          <w:b w:val="0"/>
          <w:i w:val="0"/>
          <w:color w:val="222222"/>
          <w:sz w:val="19"/>
        </w:rPr>
        <w:t>Yours sincerely,</w:t>
      </w:r>
    </w:p>
    <w:p>
      <w:pPr>
        <w:spacing w:after="80" w:line="276" w:lineRule="auto"/>
      </w:pPr>
      <w:r>
        <w:rPr>
          <w:rFonts w:ascii="Calibri" w:hAnsi="Calibri" w:eastAsia="Calibri"/>
          <w:b w:val="0"/>
          <w:i w:val="0"/>
          <w:color w:val="222222"/>
          <w:sz w:val="19"/>
        </w:rPr>
        <w:t>_____________________________________________</w:t>
      </w:r>
    </w:p>
    <w:p>
      <w:pPr>
        <w:spacing w:after="80" w:line="276" w:lineRule="auto"/>
      </w:pPr>
      <w:r>
        <w:rPr>
          <w:rFonts w:ascii="Calibri" w:hAnsi="Calibri" w:eastAsia="Calibri"/>
          <w:b/>
          <w:i w:val="0"/>
          <w:color w:val="222222"/>
          <w:sz w:val="19"/>
        </w:rPr>
        <w:t>[Authorized Signatory Name]</w:t>
      </w:r>
    </w:p>
    <w:p>
      <w:pPr>
        <w:spacing w:after="80" w:line="276" w:lineRule="auto"/>
      </w:pPr>
      <w:r>
        <w:rPr>
          <w:rFonts w:ascii="Calibri" w:hAnsi="Calibri" w:eastAsia="Calibri"/>
          <w:b w:val="0"/>
          <w:i w:val="0"/>
          <w:color w:val="222222"/>
          <w:sz w:val="19"/>
        </w:rPr>
        <w:t>[Designation: Chief Financial Officer / Managing Director]</w:t>
      </w:r>
    </w:p>
    <w:p>
      <w:pPr>
        <w:spacing w:after="80" w:line="276" w:lineRule="auto"/>
      </w:pPr>
      <w:r>
        <w:rPr>
          <w:rFonts w:ascii="Calibri" w:hAnsi="Calibri" w:eastAsia="Calibri"/>
          <w:b/>
          <w:i w:val="0"/>
          <w:color w:val="222222"/>
          <w:sz w:val="19"/>
        </w:rPr>
        <w:t>Unisoft Systems Limited</w:t>
      </w:r>
    </w:p>
    <w:p>
      <w:pPr>
        <w:spacing w:after="80" w:line="276" w:lineRule="auto"/>
      </w:pPr>
      <w:r>
        <w:rPr>
          <w:rFonts w:ascii="Calibri" w:hAnsi="Calibri" w:eastAsia="Calibri"/>
          <w:b w:val="0"/>
          <w:i w:val="0"/>
          <w:color w:val="222222"/>
          <w:sz w:val="19"/>
        </w:rPr>
        <w:t>Youth Tower, Begum Rokeya Sarani, Dhaka-1216, Bangladesh</w:t>
      </w:r>
    </w:p>
    <w:p>
      <w:pPr>
        <w:pStyle w:val="Heading2"/>
        <w:keepNext/>
      </w:pPr>
      <w:r>
        <w:t>2. Master Schedule of Prices Summary</w:t>
      </w:r>
    </w:p>
    <w:p>
      <w:pPr>
        <w:keepNext/>
        <w:spacing w:before="160" w:after="40"/>
        <w:jc w:val="center"/>
      </w:pPr>
      <w:r>
        <w:drawing>
          <wp:inline xmlns:a="http://schemas.openxmlformats.org/drawingml/2006/main" xmlns:pic="http://schemas.openxmlformats.org/drawingml/2006/picture">
            <wp:extent cx="5688000" cy="3199500"/>
            <wp:docPr id="3" name="Picture 3" descr="Classification engine preventing excess loan loss reserves" title="Figure 3: Balance Sheet Protection — Capital Adequacy Optimization via Granular Provisioning"/>
            <wp:cNvGraphicFramePr>
              <a:graphicFrameLocks noChangeAspect="1"/>
            </wp:cNvGraphicFramePr>
            <a:graphic>
              <a:graphicData uri="http://schemas.openxmlformats.org/drawingml/2006/picture">
                <pic:pic>
                  <pic:nvPicPr>
                    <pic:cNvPr id="0" name="s03_classification.png"/>
                    <pic:cNvPicPr/>
                  </pic:nvPicPr>
                  <pic:blipFill>
                    <a:blip r:embed="rId13"/>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3: Balance Sheet Protection — Capital Adequacy Optimization via Granular Provisioning</w:t>
      </w:r>
    </w:p>
    <w:p>
      <w:pPr>
        <w:spacing w:after="80" w:line="276" w:lineRule="auto"/>
      </w:pPr>
      <w:r>
        <w:rPr>
          <w:rFonts w:ascii="Calibri" w:hAnsi="Calibri" w:eastAsia="Calibri"/>
          <w:b w:val="0"/>
          <w:i w:val="0"/>
          <w:color w:val="222222"/>
          <w:sz w:val="19"/>
        </w:rPr>
        <w:t>The total commercial investment for the delivery, deployment, and operationalization of ULMS v2.0 is structured into four transparent components:</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Component Code</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Description of Services &amp; Deliverables</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Total Amount (BDT)&lt;br/&gt;*Excluding VAT*</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Statutory NBR VAT (15%)</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Total Contract Amount (BDT)&lt;br/&gt;*Including 15% VAT*</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SCHEDULE-A</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Core Software Perpetual License Fee</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 2,50,00,000</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 37,50,000</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 2,87,50,000</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SCHEDULE-B</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Implementation, Customization &amp; CBS Integration</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1,20,00,000</w:t>
            </w:r>
          </w:p>
        </w:tc>
        <w:tc>
          <w:tcPr>
            <w:tcW w:type="dxa" w:w="255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18,00,000</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1,38,00,000</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SCHEDULE-C</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Training, UAT Support &amp; Change Management</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 30,00,000</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 4,50,000</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 34,50,000</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SCHEDULE-D</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First-Year Warranty &amp; Level-3 Technical Support</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color w:val="222222"/>
                <w:sz w:val="18"/>
              </w:rPr>
              <w:t>Included (Zero Cost)</w:t>
            </w:r>
          </w:p>
        </w:tc>
        <w:tc>
          <w:tcPr>
            <w:tcW w:type="dxa" w:w="2551"/>
            <w:shd w:fill="F0F2FB"/>
            <w:tcMar>
              <w:top w:w="120" w:type="dxa"/>
              <w:bottom w:w="120" w:type="dxa"/>
              <w:left w:w="160" w:type="dxa"/>
              <w:right w:w="160" w:type="dxa"/>
            </w:tcMar>
          </w:tcPr>
          <w:p>
            <w:pPr>
              <w:spacing w:after="40" w:line="276" w:lineRule="auto"/>
            </w:pPr>
            <w:r>
              <w:rPr>
                <w:rFonts w:ascii="Calibri" w:hAnsi="Calibri" w:eastAsia="Calibri"/>
                <w:b w:val="0"/>
                <w:i/>
                <w:color w:val="222222"/>
                <w:sz w:val="18"/>
              </w:rPr>
              <w:t>Included</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color w:val="222222"/>
                <w:sz w:val="18"/>
              </w:rPr>
              <w:t>Included (Zero Cost)</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TOTAL INITIAL INVESTMENT</w:t>
            </w:r>
          </w:p>
        </w:tc>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Turnkey Pilot &amp; Network Deployment</w:t>
            </w:r>
          </w:p>
        </w:tc>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 4,00,00,000</w:t>
            </w:r>
          </w:p>
        </w:tc>
        <w:tc>
          <w:tcPr>
            <w:tcW w:type="dxa" w:w="2551"/>
            <w:tcMar>
              <w:top w:w="120" w:type="dxa"/>
              <w:bottom w:w="120" w:type="dxa"/>
              <w:left w:w="160" w:type="dxa"/>
              <w:right w:w="160" w:type="dxa"/>
            </w:tcMar>
          </w:tcPr>
          <w:p>
            <w:pPr>
              <w:spacing w:after="40" w:line="276" w:lineRule="auto"/>
            </w:pPr>
            <w:r>
              <w:rPr>
                <w:rFonts w:ascii="Calibri" w:hAnsi="Calibri" w:eastAsia="Calibri"/>
                <w:b/>
                <w:i w:val="0"/>
                <w:color w:val="222222"/>
                <w:sz w:val="18"/>
              </w:rPr>
              <w:t>৳ 60,00,000</w:t>
            </w:r>
          </w:p>
        </w:tc>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 4,60,00,000</w:t>
            </w:r>
          </w:p>
        </w:tc>
      </w:tr>
    </w:tbl>
    <w:p>
      <w:pPr>
        <w:spacing w:after="80"/>
      </w:pPr>
    </w:p>
    <w:p>
      <w:pPr>
        <w:spacing w:after="80" w:line="276" w:lineRule="auto"/>
      </w:pPr>
      <w:r>
        <w:rPr>
          <w:rFonts w:ascii="Calibri" w:hAnsi="Calibri" w:eastAsia="Calibri"/>
          <w:b w:val="0"/>
          <w:i/>
          <w:color w:val="222222"/>
          <w:sz w:val="19"/>
        </w:rPr>
        <w:t>(In Words: Bangladeshi Taka Four Crore Sixty Lakh Only, including 15% statutory VAT).</w:t>
      </w:r>
    </w:p>
    <w:p>
      <w:pPr>
        <w:pStyle w:val="Heading2"/>
        <w:keepNext/>
      </w:pPr>
      <w:r>
        <w:t>3. Detailed Cost Breakdown Schedules</w:t>
      </w:r>
    </w:p>
    <w:p>
      <w:pPr>
        <w:pStyle w:val="Heading3"/>
        <w:keepNext/>
      </w:pPr>
      <w:r>
        <w:t>Schedule A: Core Software Perpetual License Fees</w:t>
      </w:r>
    </w:p>
    <w:p>
      <w:pPr>
        <w:spacing w:after="80" w:line="276" w:lineRule="auto"/>
      </w:pPr>
      <w:r>
        <w:rPr>
          <w:rFonts w:ascii="Calibri" w:hAnsi="Calibri" w:eastAsia="Calibri"/>
          <w:b w:val="0"/>
          <w:i/>
          <w:color w:val="222222"/>
          <w:sz w:val="19"/>
        </w:rPr>
        <w:t>Grant of perpetual, irrevocable, enterprise-wide license for use within the bank's sovereign datacenter.</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Item #</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License Component / Module</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Scope of License</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Price (BDT)</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A.1</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ULMS Core Engine (Origination, Assessment, BOCC)</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Enterprise Bank-Wide</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80,00,000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A.2</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Approval Engine &amp; 7-Level Delegation Hierarchy</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Enterprise Bank-Wide</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30,00,000</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A.3</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Automated CBS Disbursement &amp; Servicing Engine</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Enterprise Bank-Wide</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40,00,000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A.4</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BRPD Circular 15/2024 &amp; IFRS-9 ECL Module</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Enterprise Bank-Wide</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45,00,000</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A.5</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Real-Time CIB Online REST Integration Gateway</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Centralized Gateway</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25,00,000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A.6</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Election Commission NIDW / e-KYC Biometric Interface</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Centralized Gateway</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15,00,000</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A.7</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Islamic Shariah-Compliant Financing Module</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Enterprise Bank-Wide</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15,00,000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SUB-TOTAL</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Schedule A: Software Perpetual License</w:t>
            </w:r>
          </w:p>
        </w:tc>
        <w:tc>
          <w:tcPr>
            <w:tcW w:type="dxa" w:w="2438"/>
            <w:shd w:fill="F0F2FB"/>
            <w:tcMar>
              <w:top w:w="120" w:type="dxa"/>
              <w:bottom w:w="120" w:type="dxa"/>
              <w:left w:w="160" w:type="dxa"/>
              <w:right w:w="160" w:type="dxa"/>
            </w:tcMar>
          </w:tcPr>
          <w:p>
            <w:pPr>
              <w:spacing w:after="40" w:line="276" w:lineRule="auto"/>
            </w:pP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 2,50,00,000</w:t>
            </w:r>
          </w:p>
        </w:tc>
      </w:tr>
    </w:tbl>
    <w:p>
      <w:pPr>
        <w:spacing w:after="80"/>
      </w:pPr>
    </w:p>
    <w:p>
      <w:pPr>
        <w:pStyle w:val="Heading3"/>
        <w:keepNext/>
      </w:pPr>
      <w:r>
        <w:t>Schedule B: Professional Services, Customization &amp; CBS Integration</w:t>
      </w:r>
    </w:p>
    <w:p>
      <w:pPr>
        <w:spacing w:after="80" w:line="276" w:lineRule="auto"/>
      </w:pPr>
      <w:r>
        <w:rPr>
          <w:rFonts w:ascii="Calibri" w:hAnsi="Calibri" w:eastAsia="Calibri"/>
          <w:b w:val="0"/>
          <w:i/>
          <w:color w:val="222222"/>
          <w:sz w:val="19"/>
        </w:rPr>
        <w:t>All engineering professional services delivered over the 12-week implementation timeline.</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Item #</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Professional Services Activity</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Estimated Effort</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Price (BDT)</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B.1</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Business Requirements Study &amp; Gap Specification (BRD/SRS)</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4 Man-Weeks</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15,00,000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B.2</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Core Banking System (CBS) Bi-Directional Connector Build</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8 Man-Weeks</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45,00,000</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B.3</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CIB Online Gateway &amp; Election Commission NIDW Config</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3 Man-Weeks</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15,00,000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B.4</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Legacy Loan Data Cleansing, Transformation &amp; Migration</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6 Man-Weeks</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25,00,000</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B.5</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System Integration Testing (SIT) &amp; Performance Tuning</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4 Man-Weeks</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20,00,000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SUB-TOTAL</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Schedule B: Implementation &amp; Integration Services</w:t>
            </w:r>
          </w:p>
        </w:tc>
        <w:tc>
          <w:tcPr>
            <w:tcW w:type="dxa" w:w="2438"/>
            <w:shd w:fill="F0F2FB"/>
            <w:tcMar>
              <w:top w:w="120" w:type="dxa"/>
              <w:bottom w:w="120" w:type="dxa"/>
              <w:left w:w="160" w:type="dxa"/>
              <w:right w:w="160" w:type="dxa"/>
            </w:tcMar>
          </w:tcPr>
          <w:p>
            <w:pPr>
              <w:spacing w:after="40" w:line="276" w:lineRule="auto"/>
            </w:pP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 1,20,00,000</w:t>
            </w:r>
          </w:p>
        </w:tc>
      </w:tr>
    </w:tbl>
    <w:p>
      <w:pPr>
        <w:spacing w:after="80"/>
      </w:pPr>
    </w:p>
    <w:p>
      <w:pPr>
        <w:pStyle w:val="Heading3"/>
        <w:keepNext/>
      </w:pPr>
      <w:r>
        <w:t>Schedule C: Training, Capacity Building &amp; Pilot Support</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Item #</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Training / Change Management Service</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Delivery Mode</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Price (BDT)</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C.1</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Train-the-Trainer (TTT) Master Workshop (25 Core Trainers)</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On-Site Classroom (5 Days)</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10,00,000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C.2</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Branch Credit Officer &amp; BOCC Workflow Training (100 Staff)</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Regional Centers (10 Days)</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12,00,000</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C.3</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System Administration, DBA &amp; Security Operations Training</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Technical Labs (5 Days)</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8,00,000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SUB-TOTAL</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Schedule C: Training &amp; Capacity Building</w:t>
            </w:r>
          </w:p>
        </w:tc>
        <w:tc>
          <w:tcPr>
            <w:tcW w:type="dxa" w:w="2438"/>
            <w:shd w:fill="F0F2FB"/>
            <w:tcMar>
              <w:top w:w="120" w:type="dxa"/>
              <w:bottom w:w="120" w:type="dxa"/>
              <w:left w:w="160" w:type="dxa"/>
              <w:right w:w="160" w:type="dxa"/>
            </w:tcMar>
          </w:tcPr>
          <w:p>
            <w:pPr>
              <w:spacing w:after="40" w:line="276" w:lineRule="auto"/>
            </w:pP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 30,00,000</w:t>
            </w:r>
          </w:p>
        </w:tc>
      </w:tr>
    </w:tbl>
    <w:p>
      <w:pPr>
        <w:spacing w:after="80"/>
      </w:pPr>
    </w:p>
    <w:p>
      <w:pPr>
        <w:pStyle w:val="Heading2"/>
        <w:keepNext/>
      </w:pPr>
      <w:r>
        <w:t>4. Annual Maintenance Contract (AMC) &amp; Support Fees (Years 2–5)</w:t>
      </w:r>
    </w:p>
    <w:p>
      <w:pPr>
        <w:pStyle w:val="ListBullet"/>
        <w:spacing w:after="40" w:line="276" w:lineRule="auto"/>
      </w:pPr>
      <w:r>
        <w:rPr>
          <w:rFonts w:ascii="Calibri" w:hAnsi="Calibri" w:eastAsia="Calibri"/>
          <w:b/>
          <w:i w:val="0"/>
          <w:color w:val="222222"/>
          <w:sz w:val="19"/>
        </w:rPr>
        <w:t>Year 1 Maintenance:</w:t>
      </w:r>
      <w:r>
        <w:rPr>
          <w:rFonts w:ascii="Calibri" w:hAnsi="Calibri" w:eastAsia="Calibri"/>
          <w:b w:val="0"/>
          <w:i w:val="0"/>
          <w:color w:val="222222"/>
          <w:sz w:val="19"/>
        </w:rPr>
        <w:t xml:space="preserve"> Completely </w:t>
      </w:r>
      <w:r>
        <w:rPr>
          <w:rFonts w:ascii="Calibri" w:hAnsi="Calibri" w:eastAsia="Calibri"/>
          <w:b/>
          <w:i w:val="0"/>
          <w:color w:val="222222"/>
          <w:sz w:val="19"/>
        </w:rPr>
        <w:t>FREE of charge</w:t>
      </w:r>
      <w:r>
        <w:rPr>
          <w:rFonts w:ascii="Calibri" w:hAnsi="Calibri" w:eastAsia="Calibri"/>
          <w:b w:val="0"/>
          <w:i w:val="0"/>
          <w:color w:val="222222"/>
          <w:sz w:val="19"/>
        </w:rPr>
        <w:t xml:space="preserve"> under our comprehensive 12-month warranty period.</w:t>
      </w:r>
    </w:p>
    <w:p>
      <w:pPr>
        <w:pStyle w:val="ListBullet"/>
        <w:spacing w:after="40" w:line="276" w:lineRule="auto"/>
      </w:pPr>
      <w:r>
        <w:rPr>
          <w:rFonts w:ascii="Calibri" w:hAnsi="Calibri" w:eastAsia="Calibri"/>
          <w:b/>
          <w:i w:val="0"/>
          <w:color w:val="222222"/>
          <w:sz w:val="19"/>
        </w:rPr>
        <w:t>Years 2 to 5 Maintenance:</w:t>
      </w:r>
      <w:r>
        <w:rPr>
          <w:rFonts w:ascii="Calibri" w:hAnsi="Calibri" w:eastAsia="Calibri"/>
          <w:b w:val="0"/>
          <w:i w:val="0"/>
          <w:color w:val="222222"/>
          <w:sz w:val="19"/>
        </w:rPr>
        <w:t xml:space="preserve"> Fixed at exactly </w:t>
      </w:r>
      <w:r>
        <w:rPr>
          <w:rFonts w:ascii="Calibri" w:hAnsi="Calibri" w:eastAsia="Calibri"/>
          <w:b/>
          <w:i w:val="0"/>
          <w:color w:val="222222"/>
          <w:sz w:val="19"/>
        </w:rPr>
        <w:t>20% of the Net Software License Value</w:t>
      </w:r>
      <w:r>
        <w:rPr>
          <w:rFonts w:ascii="Calibri" w:hAnsi="Calibri" w:eastAsia="Calibri"/>
          <w:b w:val="0"/>
          <w:i w:val="0"/>
          <w:color w:val="222222"/>
          <w:sz w:val="19"/>
        </w:rPr>
        <w:t xml:space="preserve"> (Schedule A) annually:</w:t>
      </w:r>
    </w:p>
    <w:p>
      <w:pPr>
        <w:spacing w:after="80" w:line="276" w:lineRule="auto"/>
      </w:pPr>
      <w:r>
        <w:rPr>
          <w:rFonts w:ascii="Calibri" w:hAnsi="Calibri" w:eastAsia="Calibri"/>
          <w:b w:val="0"/>
          <w:i w:val="0"/>
          <w:color w:val="222222"/>
          <w:sz w:val="19"/>
        </w:rPr>
        <w:t>$$\text{Annual AMC Fee} = 20\% \times \text{BDT } 2,50,00,000 = \mathbf{BDT\ 50,00,000\ /\ Year\ (+15\%\ VAT)}$$</w:t>
      </w:r>
    </w:p>
    <w:p>
      <w:pPr>
        <w:pStyle w:val="Heading3"/>
        <w:keepNext/>
      </w:pPr>
      <w:r>
        <w:t>Scope of Annual Maintenance Contract Coverage:</w:t>
      </w:r>
    </w:p>
    <w:p>
      <w:pPr>
        <w:pStyle w:val="ListNumber"/>
        <w:spacing w:after="40" w:line="276" w:lineRule="auto"/>
      </w:pPr>
      <w:r>
        <w:rPr>
          <w:rFonts w:ascii="Calibri" w:hAnsi="Calibri" w:eastAsia="Calibri"/>
          <w:b/>
          <w:i w:val="0"/>
          <w:color w:val="222222"/>
          <w:sz w:val="19"/>
        </w:rPr>
        <w:t>Free Bangladesh Bank Regulatory Updates:</w:t>
      </w:r>
      <w:r>
        <w:rPr>
          <w:rFonts w:ascii="Calibri" w:hAnsi="Calibri" w:eastAsia="Calibri"/>
          <w:b w:val="0"/>
          <w:i w:val="0"/>
          <w:color w:val="222222"/>
          <w:sz w:val="19"/>
        </w:rPr>
        <w:t xml:space="preserve"> All mandatory updates driven by new BRPD, BFIU, or CIB circulars are delivered at zero additional customization cost.</w:t>
      </w:r>
    </w:p>
    <w:p>
      <w:pPr>
        <w:pStyle w:val="ListNumber"/>
        <w:spacing w:after="40" w:line="276" w:lineRule="auto"/>
      </w:pPr>
      <w:r>
        <w:rPr>
          <w:rFonts w:ascii="Calibri" w:hAnsi="Calibri" w:eastAsia="Calibri"/>
          <w:b/>
          <w:i w:val="0"/>
          <w:color w:val="222222"/>
          <w:sz w:val="19"/>
        </w:rPr>
        <w:t>Dedicated Dhaka Support Engineering:</w:t>
      </w:r>
      <w:r>
        <w:rPr>
          <w:rFonts w:ascii="Calibri" w:hAnsi="Calibri" w:eastAsia="Calibri"/>
          <w:b w:val="0"/>
          <w:i w:val="0"/>
          <w:color w:val="222222"/>
          <w:sz w:val="19"/>
        </w:rPr>
        <w:t xml:space="preserve"> Tier-1 helpdesk, Tier-2 engineering, and Tier-3 architect escalations with 30-minute on-site response in Dhaka.</w:t>
      </w:r>
    </w:p>
    <w:p>
      <w:pPr>
        <w:pStyle w:val="ListNumber"/>
        <w:spacing w:after="40" w:line="276" w:lineRule="auto"/>
      </w:pPr>
      <w:r>
        <w:rPr>
          <w:rFonts w:ascii="Calibri" w:hAnsi="Calibri" w:eastAsia="Calibri"/>
          <w:b/>
          <w:i w:val="0"/>
          <w:color w:val="222222"/>
          <w:sz w:val="19"/>
        </w:rPr>
        <w:t>Core Version Upgrades:</w:t>
      </w:r>
      <w:r>
        <w:rPr>
          <w:rFonts w:ascii="Calibri" w:hAnsi="Calibri" w:eastAsia="Calibri"/>
          <w:b w:val="0"/>
          <w:i w:val="0"/>
          <w:color w:val="222222"/>
          <w:sz w:val="19"/>
        </w:rPr>
        <w:t xml:space="preserve"> All minor and major software version updates and security patches released by Unisoft during the active maintenance term.</w:t>
      </w:r>
    </w:p>
    <w:p>
      <w:pPr>
        <w:pStyle w:val="Heading2"/>
        <w:keepNext/>
      </w:pPr>
      <w:r>
        <w:t>5. Milestone-Based Payment Terms</w:t>
      </w:r>
    </w:p>
    <w:p>
      <w:pPr>
        <w:spacing w:after="80" w:line="276" w:lineRule="auto"/>
      </w:pPr>
      <w:r>
        <w:rPr>
          <w:rFonts w:ascii="Calibri" w:hAnsi="Calibri" w:eastAsia="Calibri"/>
          <w:b w:val="0"/>
          <w:i w:val="0"/>
          <w:color w:val="222222"/>
          <w:sz w:val="19"/>
        </w:rPr>
        <w:t>Payments shall be tied strictly to verified project milestones, guaranteeing alignment of incentives:</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Milestone #</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Project Deliverable / Trigger</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 of Total Contract</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Amount (BDT)&lt;br/&gt;*Incl. VAT*</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M1</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Contract Signing &amp; Mobilization Advance (against Advance Bank Guarantee)</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20%</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92,00,000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M2</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Approval of Final Business Requirements Document (BRD) &amp; Architecture</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20%</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92,00,000</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M3</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Completion of CBS &amp; CIB Integration and Delivery of Staging Sandbox</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20%</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92,00,000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M4</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Successful User Acceptance Testing (UAT) Sign-Off by Bank Committee</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20%</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92,00,000</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M5</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Successful Pilot Branch Go-Live &amp; First Live Loan Disbursement</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10%</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 46,00,000</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M6</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Final Project Acceptance Sign-Off (30 Days Post-Pilot Stable Run)</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10%</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46,00,000</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TOTAL</w:t>
            </w:r>
          </w:p>
        </w:tc>
        <w:tc>
          <w:tcPr>
            <w:tcW w:type="dxa" w:w="1814"/>
            <w:tcMar>
              <w:top w:w="120" w:type="dxa"/>
              <w:bottom w:w="120" w:type="dxa"/>
              <w:left w:w="160" w:type="dxa"/>
              <w:right w:w="160" w:type="dxa"/>
            </w:tcMar>
          </w:tcPr>
          <w:p>
            <w:pPr>
              <w:spacing w:after="40" w:line="276" w:lineRule="auto"/>
            </w:pPr>
            <w:r>
              <w:rPr>
                <w:rFonts w:ascii="Calibri" w:hAnsi="Calibri" w:eastAsia="Calibri"/>
                <w:b/>
                <w:i w:val="0"/>
                <w:color w:val="222222"/>
                <w:sz w:val="18"/>
              </w:rPr>
              <w:t>100% Contract Execution</w:t>
            </w:r>
          </w:p>
        </w:tc>
        <w:tc>
          <w:tcPr>
            <w:tcW w:type="dxa" w:w="2438"/>
            <w:tcMar>
              <w:top w:w="120" w:type="dxa"/>
              <w:bottom w:w="120" w:type="dxa"/>
              <w:left w:w="160" w:type="dxa"/>
              <w:right w:w="160" w:type="dxa"/>
            </w:tcMar>
          </w:tcPr>
          <w:p>
            <w:pPr>
              <w:spacing w:after="40" w:line="276" w:lineRule="auto"/>
            </w:pPr>
            <w:r>
              <w:rPr>
                <w:rFonts w:ascii="Calibri" w:hAnsi="Calibri" w:eastAsia="Calibri"/>
                <w:b/>
                <w:i w:val="0"/>
                <w:color w:val="222222"/>
                <w:sz w:val="18"/>
              </w:rPr>
              <w:t>100%</w:t>
            </w:r>
          </w:p>
        </w:tc>
        <w:tc>
          <w:tcPr>
            <w:tcW w:type="dxa" w:w="3685"/>
            <w:tcMar>
              <w:top w:w="120" w:type="dxa"/>
              <w:bottom w:w="120" w:type="dxa"/>
              <w:left w:w="160" w:type="dxa"/>
              <w:right w:w="160" w:type="dxa"/>
            </w:tcMar>
          </w:tcPr>
          <w:p>
            <w:pPr>
              <w:spacing w:after="40" w:line="276" w:lineRule="auto"/>
            </w:pPr>
            <w:r>
              <w:rPr>
                <w:rFonts w:ascii="Calibri" w:hAnsi="Calibri" w:eastAsia="Calibri"/>
                <w:b/>
                <w:i w:val="0"/>
                <w:color w:val="222222"/>
                <w:sz w:val="18"/>
              </w:rPr>
              <w:t>৳ 4,60,00,000</w:t>
            </w:r>
          </w:p>
        </w:tc>
      </w:tr>
    </w:tbl>
    <w:p>
      <w:pPr>
        <w:spacing w:after="80"/>
      </w:pPr>
    </w:p>
    <w:p>
      <w:pPr>
        <w:pStyle w:val="Heading2"/>
        <w:keepNext/>
      </w:pPr>
      <w:r>
        <w:t>6. Statutory Taxes &amp; VAT Statement</w:t>
      </w:r>
    </w:p>
    <w:p>
      <w:pPr>
        <w:pStyle w:val="ListNumber"/>
        <w:spacing w:after="40" w:line="276" w:lineRule="auto"/>
      </w:pPr>
      <w:r>
        <w:rPr>
          <w:rFonts w:ascii="Calibri" w:hAnsi="Calibri" w:eastAsia="Calibri"/>
          <w:b/>
          <w:i w:val="0"/>
          <w:color w:val="222222"/>
          <w:sz w:val="19"/>
        </w:rPr>
        <w:t>VAT Compliance:</w:t>
      </w:r>
      <w:r>
        <w:rPr>
          <w:rFonts w:ascii="Calibri" w:hAnsi="Calibri" w:eastAsia="Calibri"/>
          <w:b w:val="0"/>
          <w:i w:val="0"/>
          <w:color w:val="222222"/>
          <w:sz w:val="19"/>
        </w:rPr>
        <w:t xml:space="preserve"> Unisoft Systems Limited is fully registered under the Value Added Tax and Supplementary Duty Act, 2012, holding Business Identification Number (BIN): </w:t>
      </w:r>
      <w:r>
        <w:rPr>
          <w:rFonts w:ascii="Consolas" w:hAnsi="Consolas" w:eastAsia="Consolas"/>
          <w:b w:val="0"/>
          <w:i w:val="0"/>
          <w:color w:val="8B0000"/>
          <w:sz w:val="18"/>
        </w:rPr>
        <w:t>[Insert BIN Number]</w:t>
      </w:r>
      <w:r>
        <w:rPr>
          <w:rFonts w:ascii="Calibri" w:hAnsi="Calibri" w:eastAsia="Calibri"/>
          <w:b w:val="0"/>
          <w:i w:val="0"/>
          <w:color w:val="222222"/>
          <w:sz w:val="19"/>
        </w:rPr>
        <w:t>.</w:t>
      </w:r>
    </w:p>
    <w:p>
      <w:pPr>
        <w:pStyle w:val="ListNumber"/>
        <w:spacing w:after="40" w:line="276" w:lineRule="auto"/>
      </w:pPr>
      <w:r>
        <w:rPr>
          <w:rFonts w:ascii="Calibri" w:hAnsi="Calibri" w:eastAsia="Calibri"/>
          <w:b/>
          <w:i w:val="0"/>
          <w:color w:val="222222"/>
          <w:sz w:val="19"/>
        </w:rPr>
        <w:t>UniVAT™ Pedigree:</w:t>
      </w:r>
      <w:r>
        <w:rPr>
          <w:rFonts w:ascii="Calibri" w:hAnsi="Calibri" w:eastAsia="Calibri"/>
          <w:b w:val="0"/>
          <w:i w:val="0"/>
          <w:color w:val="222222"/>
          <w:sz w:val="19"/>
        </w:rPr>
        <w:t xml:space="preserve"> Unisoft is the developer of the NBR-Approved UniVAT™ enterprise system, ensuring 100% flawless tax invoice (Mushak-6.3) issuance.</w:t>
      </w:r>
    </w:p>
    <w:p>
      <w:pPr>
        <w:pStyle w:val="ListNumber"/>
        <w:spacing w:after="40" w:line="276" w:lineRule="auto"/>
      </w:pPr>
      <w:r>
        <w:rPr>
          <w:rFonts w:ascii="Calibri" w:hAnsi="Calibri" w:eastAsia="Calibri"/>
          <w:b/>
          <w:i w:val="0"/>
          <w:color w:val="222222"/>
          <w:sz w:val="19"/>
        </w:rPr>
        <w:t>Withholding Tax (AIT):</w:t>
      </w:r>
      <w:r>
        <w:rPr>
          <w:rFonts w:ascii="Calibri" w:hAnsi="Calibri" w:eastAsia="Calibri"/>
          <w:b w:val="0"/>
          <w:i w:val="0"/>
          <w:color w:val="222222"/>
          <w:sz w:val="19"/>
        </w:rPr>
        <w:t xml:space="preserve"> Advance Income Tax (AIT) will be deducted at source by the Bank in accordance with the Income Tax Act, 2023, and Unisoft shall be furnished with formal withholding tax deduction certificates.</w:t>
      </w:r>
    </w:p>
    <w:p>
      <w:pPr>
        <w:spacing w:after="80" w:line="276" w:lineRule="auto"/>
      </w:pPr>
      <w:r>
        <w:rPr>
          <w:rFonts w:ascii="Calibri" w:hAnsi="Calibri" w:eastAsia="Calibri"/>
          <w:b w:val="0"/>
          <w:i/>
          <w:color w:val="222222"/>
          <w:sz w:val="19"/>
        </w:rPr>
        <w:t>Unisoft Systems Limited — Financial &amp; Commercial Operations.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Unisoft Loan Management System (ULMS v2.0) — Master RFP Financial Proposal &amp; Cost Breakdow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RFP Financial Proposal &amp; Cost Breakdown Template (Envelope-2)</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