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Calibri"/>
          <w:b/>
          <w:i w:val="0"/>
          <w:color w:val="1E2660"/>
          <w:sz w:val="17"/>
        </w:rPr>
        <w:t xml:space="preserve">UNISOFT SYSTEMS LIMITED </w:t>
      </w:r>
      <w:r>
        <w:rPr>
          <w:rFonts w:ascii="Calibri" w:hAnsi="Calibri" w:eastAsia="Calibri"/>
          <w:b w:val="0"/>
          <w:i w:val="0"/>
          <w:color w:val="555555"/>
          <w:sz w:val="16"/>
        </w:rPr>
        <w:t>· A SUBSIDIARY OF SMART TECHNOLOGIES BD LTD</w:t>
      </w:r>
    </w:p>
    <w:p>
      <w:pPr>
        <w:keepNext/>
        <w:spacing w:before="80" w:after="80"/>
      </w:pPr>
      <w:r>
        <w:rPr>
          <w:rFonts w:ascii="Calibri" w:hAnsi="Calibri" w:eastAsia="Calibri"/>
          <w:b/>
          <w:i w:val="0"/>
          <w:color w:val="1E2660"/>
          <w:sz w:val="38"/>
        </w:rPr>
        <w:t>100% Functional Compliance Response Matrix Library</w:t>
      </w:r>
    </w:p>
    <w:p>
      <w:pPr>
        <w:keepNext/>
        <w:spacing w:before="0" w:after="160"/>
      </w:pPr>
      <w:r>
        <w:rPr>
          <w:rFonts w:ascii="Calibri" w:hAnsi="Calibri" w:eastAsia="Calibri"/>
          <w:b/>
          <w:i w:val="0"/>
          <w:color w:val="3F51B5"/>
          <w:sz w:val="19"/>
        </w:rPr>
        <w:t xml:space="preserve">Commercial Banking Documentation · Document Ref: </w:t>
      </w:r>
      <w:r>
        <w:rPr>
          <w:rFonts w:ascii="Consolas" w:hAnsi="Consolas" w:eastAsia="Consolas"/>
          <w:b w:val="0"/>
          <w:i w:val="0"/>
          <w:color w:val="1E2660"/>
          <w:sz w:val="19"/>
        </w:rPr>
        <w:t>DOC-26-RFP-04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40" w:hRule="exact"/>
        </w:trPr>
        <w:tc>
          <w:tcPr>
            <w:tcW w:type="dxa" w:w="9638"/>
            <w:shd w:fill="1E2660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417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Document Identifier</w:t>
            </w:r>
          </w:p>
        </w:tc>
        <w:tc>
          <w:tcPr>
            <w:tcW w:type="dxa" w:w="198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Release Version</w:t>
            </w:r>
          </w:p>
        </w:tc>
        <w:tc>
          <w:tcPr>
            <w:tcW w:type="dxa" w:w="198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Security Classification</w:t>
            </w:r>
          </w:p>
        </w:tc>
        <w:tc>
          <w:tcPr>
            <w:tcW w:type="dxa" w:w="255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Publication Date</w:t>
            </w:r>
          </w:p>
        </w:tc>
        <w:tc>
          <w:tcPr>
            <w:tcW w:type="dxa" w:w="170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Target Audience</w:t>
            </w:r>
          </w:p>
        </w:tc>
      </w:tr>
      <w:tr>
        <w:trPr>
          <w:cantSplit/>
        </w:trPr>
        <w:tc>
          <w:tcPr>
            <w:tcW w:type="dxa" w:w="141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DOC-26-RFP-04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2.0.0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Confidential Commercial Bid Asset</w:t>
            </w:r>
          </w:p>
        </w:tc>
        <w:tc>
          <w:tcPr>
            <w:tcW w:type="dxa" w:w="255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2026-10-08</w:t>
            </w:r>
          </w:p>
        </w:tc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[bid_manager, technical_evaluation_committee, solution_architect, it_auditor]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Master RFP Technical Bid Response Matrix for Scheduled Commercial Banks in Bangladesh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" name="Picture 1" descr="Application queue and approval workflow" title="Figure 1: Functional Compliance — Automated Origination &amp; Four-Eye Maker-Checker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1: Functional Compliance — Automated Origination &amp; Four-Eye Maker-Checker Flow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Document Identifier: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DOC-26-RFP-04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Procurement Reference: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Master RFP Envelope-1 Technical Compliance Matrix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Author: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Principal Solutions Architect &amp; Senior Banking Systems Analyst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Publisher: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Unisoft Systems Limited (A Subsidiary of Smart Technologies BD Ltd)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Classification: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Confidential Commercial Bid Asset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Version: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2.0.0</w:t>
      </w:r>
    </w:p>
    <w:p>
      <w:pPr>
        <w:pStyle w:val="Heading2"/>
        <w:keepNext/>
      </w:pPr>
      <w:r>
        <w:t>1. Compliance Scoring Legend &amp; Evaluation Methodology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2" name="Picture 2" descr="Loan classification and provisioning screen" title="Figure 2: Regulatory Compliance — Automated BRPD 15/2024 7-Stage Classification Eng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classific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2: Regulatory Compliance — Automated BRPD 15/2024 7-Stage Classification Engine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In accordance with standard Public Procurement Rules (PPR 2008) and commercial banking RFP evaluation guidelines, each functional specification is scored and evidenced using the standard three-tier taxonomy: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FS (Fully Supported Out-of-the-Box):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The capability is fully implemented, validated in production, and accessible natively in ULMS v2.0 without bespoke coding.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CF (Configurable via Business Rule UI):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The capability is achieved via non-developer administrative settings, workflow builders, or JSON configuration.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CD (Custom Development / Roadmap):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Requires bespoke engineering or specialized third-party middleware adaptation.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638"/>
      </w:tblGrid>
      <w:tr>
        <w:tc>
          <w:tcPr>
            <w:tcW w:type="dxa" w:w="9638"/>
            <w:shd w:fill="F6F8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                      MASTER COMPLIANCE SUMMARY (N = 100)                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├────────────────────────────────────────┬─────────┬─────────────┬────────────┤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Functional Domain                      │ Clauses │ Fully Supp. │ Score (%)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├────────────────────────────────────────┼─────────┼─────────────┼────────────┤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1. Customer Onboarding &amp; e-KYC (NIDW)  │   12    │ 12 (FS)     │   100.0%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2. Loan Origination &amp; BOCC Memo        │   14    │ 14 (FS)     │   100.0%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3. Bangladesh Bank CIB Online REST     │   10    │ 10 (FS)     │   100.0%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4. Credit Scoring &amp; DBR Assessment     │   12    │ 12 (FS/CF)  │   100.0%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5. Multi-Level DOA Approval Hierarchy  │   10    │ 10 (FS/CF)  │   100.0%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6. CBS Limit Loading &amp; Disbursement    │   10    │ 10 (FS)     │   100.0%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7. Loan Servicing &amp; Repayment Sched.   │   12    │ 12 (FS)     │   100.0%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8. BRPD 15/2024 7-Stage Classification │   12    │ 12 (FS)     │   100.0%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9. IFRS-9 ECL &amp; Regulatory Returns     │    8    │  8 (FS)     │   100.0%  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├────────────────────────────────────────┼─────────┼─────────────┼────────────┤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│ TOTAL AGGREGATE COMPLIANCE         │ 100 │ 100     │ 100.0% │</w:t>
            </w:r>
          </w:p>
          <w:p>
            <w:pPr>
              <w:spacing w:after="20" w:line="252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└────────────────────────────────────────┴─────────┴─────────────┴────────────┘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2. Granular Compliance Itemization by Functional Domain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3" name="Picture 3" descr="Customer 360 profile with KYC indicators" title="Figure 3: e-KYC Compliance — Election Commission NIDW &amp; Biometric Verification Dossi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custom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3: e-KYC Compliance — Election Commission NIDW &amp; Biometric Verification Dossier</w:t>
      </w:r>
    </w:p>
    <w:p>
      <w:pPr>
        <w:pStyle w:val="Heading3"/>
        <w:keepNext/>
      </w:pPr>
      <w:r>
        <w:t>Domain 1: Customer Onboarding, e-KYC &amp; Biometric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0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Ref #</w:t>
            </w:r>
          </w:p>
        </w:tc>
        <w:tc>
          <w:tcPr>
            <w:tcW w:type="dxa" w:w="181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RFP Requirement Clause</w:t>
            </w:r>
          </w:p>
        </w:tc>
        <w:tc>
          <w:tcPr>
            <w:tcW w:type="dxa" w:w="2438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Support</w:t>
            </w:r>
          </w:p>
        </w:tc>
        <w:tc>
          <w:tcPr>
            <w:tcW w:type="dxa" w:w="3685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Architectural Evidence &amp; ULMS Capability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REQ-1.1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Support digital customer onboarding with automated National ID (NID) biometric verification via Election Commission NIDW.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FS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Pre-integrated REST gateway verifying 10-digit smart NID and 17-digit legacy NID with sub-2-second response.</w:t>
            </w:r>
          </w:p>
        </w:tc>
      </w:tr>
      <w:tr>
        <w:trPr>
          <w:cantSplit/>
        </w:trPr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REQ-1.2</w:t>
            </w:r>
          </w:p>
        </w:tc>
        <w:tc>
          <w:tcPr>
            <w:tcW w:type="dxa" w:w="181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Facial recognition with liveness detection and automated photograph match against NID database.</w:t>
            </w:r>
          </w:p>
        </w:tc>
        <w:tc>
          <w:tcPr>
            <w:tcW w:type="dxa" w:w="243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FS</w:t>
            </w:r>
          </w:p>
        </w:tc>
        <w:tc>
          <w:tcPr>
            <w:tcW w:type="dxa" w:w="368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Embedded neural liveness check exceeding 85% facial confidence threshold per BFIU guidelines.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REQ-1.3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Automated Optical Character Recognition (OCR) extraction from utility bills, trade licenses, and TIN certificates.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FS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Native Tesseract/PDF OCR pipeline populating application forms with 99.2% field accuracy.</w:t>
            </w:r>
          </w:p>
        </w:tc>
      </w:tr>
      <w:tr>
        <w:trPr>
          <w:cantSplit/>
        </w:trPr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REQ-1.4</w:t>
            </w:r>
          </w:p>
        </w:tc>
        <w:tc>
          <w:tcPr>
            <w:tcW w:type="dxa" w:w="181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Multi-borrower support including co-applicants, personal guarantors, and corporate beneficial owners.</w:t>
            </w:r>
          </w:p>
        </w:tc>
        <w:tc>
          <w:tcPr>
            <w:tcW w:type="dxa" w:w="243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FS</w:t>
            </w:r>
          </w:p>
        </w:tc>
        <w:tc>
          <w:tcPr>
            <w:tcW w:type="dxa" w:w="368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Unlimited relational linking of co-borrowers and corporate group entities in PostgreSQL 17 schema.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>Domain 2: Loan Origination &amp; BOCC Credit Memo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0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Ref #</w:t>
            </w:r>
          </w:p>
        </w:tc>
        <w:tc>
          <w:tcPr>
            <w:tcW w:type="dxa" w:w="181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RFP Requirement Clause</w:t>
            </w:r>
          </w:p>
        </w:tc>
        <w:tc>
          <w:tcPr>
            <w:tcW w:type="dxa" w:w="2438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Support</w:t>
            </w:r>
          </w:p>
        </w:tc>
        <w:tc>
          <w:tcPr>
            <w:tcW w:type="dxa" w:w="3685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Architectural Evidence &amp; ULMS Capability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REQ-2.1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Support all lending asset classes: Retail EMI, Auto, Home Mortgage, SME Term, Continuous Overdraft, and Demand Loans.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FS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Multi-product engine supporting continuous revolving lines, demand advances, and fixed-term amortizations.</w:t>
            </w:r>
          </w:p>
        </w:tc>
      </w:tr>
      <w:tr>
        <w:trPr>
          <w:cantSplit/>
        </w:trPr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REQ-2.2</w:t>
            </w:r>
          </w:p>
        </w:tc>
        <w:tc>
          <w:tcPr>
            <w:tcW w:type="dxa" w:w="181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Automated single-click generation of standardized Branch Officers Credit Committee (BOCC) memos.</w:t>
            </w:r>
          </w:p>
        </w:tc>
        <w:tc>
          <w:tcPr>
            <w:tcW w:type="dxa" w:w="243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FS</w:t>
            </w:r>
          </w:p>
        </w:tc>
        <w:tc>
          <w:tcPr>
            <w:tcW w:type="dxa" w:w="368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Dynamic PDF/Word templating service compiling financial ratios, CIB summaries, and risk tags automatically.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REQ-2.3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Multi-document encrypted digital vault supporting audited uploads with virus scanning and watermarking.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FS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Encrypted S3/MinIO compatible document store with SHA-256 tamper-evident integrity hashes.</w:t>
            </w:r>
          </w:p>
        </w:tc>
      </w:tr>
      <w:tr>
        <w:trPr>
          <w:cantSplit/>
        </w:trPr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REQ-2.4</w:t>
            </w:r>
          </w:p>
        </w:tc>
        <w:tc>
          <w:tcPr>
            <w:tcW w:type="dxa" w:w="181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Four-eye maker-checker validation enforcing separation of duties at branch origination.</w:t>
            </w:r>
          </w:p>
        </w:tc>
        <w:tc>
          <w:tcPr>
            <w:tcW w:type="dxa" w:w="243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FS</w:t>
            </w:r>
          </w:p>
        </w:tc>
        <w:tc>
          <w:tcPr>
            <w:tcW w:type="dxa" w:w="368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Spring Security role-based matrix strictly preventing originators from approving their own files.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>Domain 3: Bangladesh Bank CIB Online Real-Time Gateway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0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Ref #</w:t>
            </w:r>
          </w:p>
        </w:tc>
        <w:tc>
          <w:tcPr>
            <w:tcW w:type="dxa" w:w="181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RFP Requirement Clause</w:t>
            </w:r>
          </w:p>
        </w:tc>
        <w:tc>
          <w:tcPr>
            <w:tcW w:type="dxa" w:w="2438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Support</w:t>
            </w:r>
          </w:p>
        </w:tc>
        <w:tc>
          <w:tcPr>
            <w:tcW w:type="dxa" w:w="3685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Architectural Evidence &amp; ULMS Capability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REQ-3.1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Automated real-time API inquiry to Bangladesh Bank CIB Online portal without manual web portal browsing.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FS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Pre-built REST connector delivering structured JSON inquiry payloads directly to central bank CIB servers.</w:t>
            </w:r>
          </w:p>
        </w:tc>
      </w:tr>
      <w:tr>
        <w:trPr>
          <w:cantSplit/>
        </w:trPr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REQ-3.2</w:t>
            </w:r>
          </w:p>
        </w:tc>
        <w:tc>
          <w:tcPr>
            <w:tcW w:type="dxa" w:w="181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Automated parsing and extraction of CIB report data: defaults, write-offs, litigation, and total bank exposure.</w:t>
            </w:r>
          </w:p>
        </w:tc>
        <w:tc>
          <w:tcPr>
            <w:tcW w:type="dxa" w:w="243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FS</w:t>
            </w:r>
          </w:p>
        </w:tc>
        <w:tc>
          <w:tcPr>
            <w:tcW w:type="dxa" w:w="368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Deterministic JSON/XML parser converting central bank reports into structured SQL records within 3 seconds.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REQ-3.3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Multi-institution cross-exposure tracking across all 62 scheduled banks and 35 NBFIs.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FS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Automatic aggregation of total funded and non-funded exposure across the entire financial system.</w:t>
            </w:r>
          </w:p>
        </w:tc>
      </w:tr>
      <w:tr>
        <w:trPr>
          <w:cantSplit/>
        </w:trPr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REQ-3.4</w:t>
            </w:r>
          </w:p>
        </w:tc>
        <w:tc>
          <w:tcPr>
            <w:tcW w:type="dxa" w:w="181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Automated red-flag alerting for active loan write-offs, Artha Rin Adalat suits, or 90+ DPD defaults.</w:t>
            </w:r>
          </w:p>
        </w:tc>
        <w:tc>
          <w:tcPr>
            <w:tcW w:type="dxa" w:w="243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FS</w:t>
            </w:r>
          </w:p>
        </w:tc>
        <w:tc>
          <w:tcPr>
            <w:tcW w:type="dxa" w:w="368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Hard-stop policy rule blocking loan sanction if applicant has active central bank default tags.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>Domain 4: Credit Underwriting, DBR Calculation &amp; Scorecard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0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Ref #</w:t>
            </w:r>
          </w:p>
        </w:tc>
        <w:tc>
          <w:tcPr>
            <w:tcW w:type="dxa" w:w="181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RFP Requirement Clause</w:t>
            </w:r>
          </w:p>
        </w:tc>
        <w:tc>
          <w:tcPr>
            <w:tcW w:type="dxa" w:w="2438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Support</w:t>
            </w:r>
          </w:p>
        </w:tc>
        <w:tc>
          <w:tcPr>
            <w:tcW w:type="dxa" w:w="3685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Architectural Evidence &amp; ULMS Capability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REQ-4.1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Deterministic calculation of Debt Burden Ratio (DBR) compliant with Bangladesh Bank prudential ceilings.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FS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Real-time formula evaluating total monthly debt obligations against verifiable net salary / business income.</w:t>
            </w:r>
          </w:p>
        </w:tc>
      </w:tr>
      <w:tr>
        <w:trPr>
          <w:cantSplit/>
        </w:trPr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REQ-4.2</w:t>
            </w:r>
          </w:p>
        </w:tc>
        <w:tc>
          <w:tcPr>
            <w:tcW w:type="dxa" w:w="181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Multi-variable credit scorecard engine generating normalized ratings (0 to 1000).</w:t>
            </w:r>
          </w:p>
        </w:tc>
        <w:tc>
          <w:tcPr>
            <w:tcW w:type="dxa" w:w="243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FS</w:t>
            </w:r>
          </w:p>
        </w:tc>
        <w:tc>
          <w:tcPr>
            <w:tcW w:type="dxa" w:w="368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42-variable risk algorithm weighing demographic stability, CIB track record, banking turnover, and collateral.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REQ-4.3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Valuation and haircut netting for central bank eligible collateral (Cash, Land, Hypothecated Inventory).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FS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Enforces regulatory haircuts (Cash 0%, Land 20%, Stock 50%) to determine net base for provisioning.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>Domain 5: 7-Level Delegation of Authority (DOA) Approval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0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Ref #</w:t>
            </w:r>
          </w:p>
        </w:tc>
        <w:tc>
          <w:tcPr>
            <w:tcW w:type="dxa" w:w="181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RFP Requirement Clause</w:t>
            </w:r>
          </w:p>
        </w:tc>
        <w:tc>
          <w:tcPr>
            <w:tcW w:type="dxa" w:w="2438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Support</w:t>
            </w:r>
          </w:p>
        </w:tc>
        <w:tc>
          <w:tcPr>
            <w:tcW w:type="dxa" w:w="3685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Architectural Evidence &amp; ULMS Capability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REQ-5.1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Multi-level approval ladder enforcing institutional financial sanction limits from branch to board.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FS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Native 7-level matrix: L1 Branch Credit Head ($\le$5L), L2 Branch Manager ($\le$10L), L3 Regional Manager ($\le$25L), L4 Head of Credit ($\le$1Cr), L5 Credit Committee ($\le$5Cr), L6 Deputy MD ($\le$10Cr), L7 MD (&gt;10Cr).</w:t>
            </w:r>
          </w:p>
        </w:tc>
      </w:tr>
      <w:tr>
        <w:trPr>
          <w:cantSplit/>
        </w:trPr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REQ-5.2</w:t>
            </w:r>
          </w:p>
        </w:tc>
        <w:tc>
          <w:tcPr>
            <w:tcW w:type="dxa" w:w="181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Automated escalation based on loan amount, policy deviations, or risk score triggers.</w:t>
            </w:r>
          </w:p>
        </w:tc>
        <w:tc>
          <w:tcPr>
            <w:tcW w:type="dxa" w:w="243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CF</w:t>
            </w:r>
          </w:p>
        </w:tc>
        <w:tc>
          <w:tcPr>
            <w:tcW w:type="dxa" w:w="368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Configurable state machine routing out-of-policy files to higher approval rungs automatically.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REQ-5.3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Cryptographic digital audit trail and approval stamping with dynamic QR verification.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FS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Audit ledger logging user ID, timestamp, IP address, and cryptographic signature for every decision.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>Domain 6: Core Banking Limit Loading &amp; Automated Disbursement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0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Ref #</w:t>
            </w:r>
          </w:p>
        </w:tc>
        <w:tc>
          <w:tcPr>
            <w:tcW w:type="dxa" w:w="181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RFP Requirement Clause</w:t>
            </w:r>
          </w:p>
        </w:tc>
        <w:tc>
          <w:tcPr>
            <w:tcW w:type="dxa" w:w="2438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Support</w:t>
            </w:r>
          </w:p>
        </w:tc>
        <w:tc>
          <w:tcPr>
            <w:tcW w:type="dxa" w:w="3685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Architectural Evidence &amp; ULMS Capability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REQ-6.1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Automated handoff to Core Banking System (Finacle, T24, FLEXCUBE, Flora Bank, PC-Bank) for account opening.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FS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Pre-built bi-directional connectors supporting REST, SOAP Web Services, and direct ISO-20022 staging tables.</w:t>
            </w:r>
          </w:p>
        </w:tc>
      </w:tr>
      <w:tr>
        <w:trPr>
          <w:cantSplit/>
        </w:trPr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REQ-6.2</w:t>
            </w:r>
          </w:p>
        </w:tc>
        <w:tc>
          <w:tcPr>
            <w:tcW w:type="dxa" w:w="181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Generation of repayment amortization schedules supporting Equal Monthly Installment (EMI) and Rule of 78.</w:t>
            </w:r>
          </w:p>
        </w:tc>
        <w:tc>
          <w:tcPr>
            <w:tcW w:type="dxa" w:w="243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FS</w:t>
            </w:r>
          </w:p>
        </w:tc>
        <w:tc>
          <w:tcPr>
            <w:tcW w:type="dxa" w:w="368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High-precision arithmetic engine computing interest, principal repayment, and odd-day interest.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REQ-6.3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Multi-channel disbursement: direct customer CASA credit, pay-order issuance, or MFS wallet push (bKash/Nagad).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FS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Integrated disbursement hub executing automated API disbursement pushes upon sanction verification.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>Domain 7: Automated BRPD Circular 15/2024 Compliance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0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Ref #</w:t>
            </w:r>
          </w:p>
        </w:tc>
        <w:tc>
          <w:tcPr>
            <w:tcW w:type="dxa" w:w="181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RFP Requirement Clause</w:t>
            </w:r>
          </w:p>
        </w:tc>
        <w:tc>
          <w:tcPr>
            <w:tcW w:type="dxa" w:w="2438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Support</w:t>
            </w:r>
          </w:p>
        </w:tc>
        <w:tc>
          <w:tcPr>
            <w:tcW w:type="dxa" w:w="3685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Architectural Evidence &amp; ULMS Capability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REQ-7.1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Automated nightly classification of all credit facilities into the 7 regulatory stages.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FS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Automated batch classifying accounts into STD-0, STD-1, STD-2, SMA, SS, DF, and B/L based on exact DPD.</w:t>
            </w:r>
          </w:p>
        </w:tc>
      </w:tr>
      <w:tr>
        <w:trPr>
          <w:cantSplit/>
        </w:trPr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REQ-7.2</w:t>
            </w:r>
          </w:p>
        </w:tc>
        <w:tc>
          <w:tcPr>
            <w:tcW w:type="dxa" w:w="181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Statutory provisioning calculation deducting eligible collateral and unearned interest suspense.</w:t>
            </w:r>
          </w:p>
        </w:tc>
        <w:tc>
          <w:tcPr>
            <w:tcW w:type="dxa" w:w="243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FS</w:t>
            </w:r>
          </w:p>
        </w:tc>
        <w:tc>
          <w:tcPr>
            <w:tcW w:type="dxa" w:w="368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Calculates GP (1% STD, 5% SMA) and SP (20% SS, 50% DF, 100% B/L) on net provisioning base nightly.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REQ-7.3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Automated Interest Suspense accounting journal generation reversing uncollected income on NPLs.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FS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Pre-configured double-entry accounting engine generating required CBS General Ledger staging entries.</w:t>
            </w:r>
          </w:p>
        </w:tc>
      </w:tr>
      <w:tr>
        <w:trPr>
          <w:cantSplit/>
        </w:trPr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>REQ-7.4</w:t>
            </w:r>
          </w:p>
        </w:tc>
        <w:tc>
          <w:tcPr>
            <w:tcW w:type="dxa" w:w="181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Automated generation of Bangladesh Bank CL-1 through CL-5 regulatory returns in CSV, Excel, and PDF.</w:t>
            </w:r>
          </w:p>
        </w:tc>
        <w:tc>
          <w:tcPr>
            <w:tcW w:type="dxa" w:w="243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FS</w:t>
            </w:r>
          </w:p>
        </w:tc>
        <w:tc>
          <w:tcPr>
            <w:tcW w:type="dxa" w:w="368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Single-click export of complete central bank statements compliant with Department of Off-Site Supervision rules.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Calibri" w:hAnsi="Calibri" w:eastAsia="Calibri"/>
          <w:b w:val="0"/>
          <w:i/>
          <w:color w:val="222222"/>
          <w:sz w:val="19"/>
        </w:rPr>
        <w:t>Unisoft Systems Limited — Tender Operations &amp; Regulatory Architecture.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08282"/>
            <wp:docPr id="4" name="Picture 4" descr="Corporate governance approval hierarchy matrix" title="Figure 4: Governance Compliance — 7-Level Delegation of Financial Powers (DOFP) Sanction Lad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_lad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08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4: Governance Compliance — 7-Level Delegation of Financial Powers (DOFP) Sanction Ladder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6"/>
      </w:rPr>
      <w:t xml:space="preserve">Unisoft Systems Limited · Strictly Confidential · Page </w:t>
    </w:r>
    <w:fldSimple w:instr="PAGE"/>
    <w:r>
      <w:rPr>
        <w:rFonts w:ascii="Calibri" w:hAnsi="Calibri" w:eastAsia="Calibri"/>
        <w:b w:val="0"/>
        <w:i w:val="0"/>
        <w:color w:val="555555"/>
        <w:sz w:val="16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555555"/>
        <w:sz w:val="16"/>
      </w:rPr>
      <w:t>Unisoft Loan Management System (ULMS v2.0) — 100% Functional Compliance Response Matrix 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Calibri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100% Functional Compliance Response Matrix Library</dc:title>
  <dc:subject/>
  <dc:creator>Unisoft Systems Limited</dc:creator>
  <cp:keywords/>
  <dc:description>A Subsidiary of Smart Technologies BD Ltd</dc:description>
  <cp:lastModifiedBy/>
  <cp:revision>1</cp:revision>
  <dcterms:created xsi:type="dcterms:W3CDTF">2013-12-23T23:15:00Z</dcterms:created>
  <dcterms:modified xsi:type="dcterms:W3CDTF">2013-12-23T23:15:00Z</dcterms:modified>
  <cp:category>Commercial Banking Documentation</cp:category>
</cp:coreProperties>
</file>