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i w:val="0"/>
          <w:color w:val="1E2660"/>
          <w:sz w:val="17"/>
        </w:rPr>
        <w:t xml:space="preserve">UNISOFT SYSTEMS LIMITED </w:t>
      </w:r>
      <w:r>
        <w:rPr>
          <w:rFonts w:ascii="Calibri" w:hAnsi="Calibri" w:eastAsia="Calibri"/>
          <w:b w:val="0"/>
          <w:i w:val="0"/>
          <w:color w:val="555555"/>
          <w:sz w:val="16"/>
        </w:rPr>
        <w:t>· A SUBSIDIARY OF SMART TECHNOLOGIES BD LTD</w:t>
      </w:r>
    </w:p>
    <w:p>
      <w:pPr>
        <w:keepNext/>
        <w:spacing w:before="80" w:after="80"/>
      </w:pPr>
      <w:r>
        <w:rPr>
          <w:rFonts w:ascii="Calibri" w:hAnsi="Calibri" w:eastAsia="Calibri"/>
          <w:b/>
          <w:i w:val="0"/>
          <w:color w:val="1E2660"/>
          <w:sz w:val="38"/>
        </w:rPr>
        <w:t>Commercial Pricing Model &amp; Licensing Matrix</w:t>
      </w:r>
    </w:p>
    <w:p>
      <w:pPr>
        <w:keepNext/>
        <w:spacing w:before="0" w:after="160"/>
      </w:pPr>
      <w:r>
        <w:rPr>
          <w:rFonts w:ascii="Calibri" w:hAnsi="Calibri" w:eastAsia="Calibri"/>
          <w:b/>
          <w:i w:val="0"/>
          <w:color w:val="3F51B5"/>
          <w:sz w:val="19"/>
        </w:rPr>
        <w:t xml:space="preserve">Commercial Banking Documentation · Document Ref: </w:t>
      </w:r>
      <w:r>
        <w:rPr>
          <w:rFonts w:ascii="Consolas" w:hAnsi="Consolas" w:eastAsia="Consolas"/>
          <w:b w:val="0"/>
          <w:i w:val="0"/>
          <w:color w:val="1E2660"/>
          <w:sz w:val="19"/>
        </w:rPr>
        <w:t>DOC-31-COM-01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0" w:hRule="exact"/>
        </w:trPr>
        <w:tc>
          <w:tcPr>
            <w:tcW w:type="dxa" w:w="9638"/>
            <w:shd w:fill="1E266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 Identifier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Release Version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Security Classification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Publication Date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Audience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DOC-31-COM-01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2.0.0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Confidential Commercial Strategy Asset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2026-10-08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[cfo, sales_director, account_executive, bid_manager, head_of_procurement]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Turnkey Enterprise Perpetual Licensing, Implementation Tiers &amp; Volume Sliding Scale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36248"/>
            <wp:docPr id="1" name="Picture 1" descr="Capital budgeting summary graphic" title="Figure 1: Commercial Justification — Investment Payback Horizon &amp; ROI Proje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kp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3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1: Commercial Justification — Investment Payback Horizon &amp; ROI Projections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Document Identifier: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DOC-31-COM-01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Author: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Chief Commercial Officer &amp; Head of Bid Management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Publisher: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Systems Limited (A Subsidiary of Smart Technologies BD Ltd)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Classification: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Confidential Commercial Asset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Version: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2.0.0</w:t>
      </w:r>
    </w:p>
    <w:p>
      <w:pPr>
        <w:pStyle w:val="Heading2"/>
        <w:keepNext/>
      </w:pPr>
      <w:r>
        <w:t>1. Commercial Architecture &amp; Value Principles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 descr="Branch asset management dashboard" title="Figure 2: Enterprise Value — Branch Portfolio Monitoring &amp; Asset Optimiz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2: Enterprise Value — Branch Portfolio Monitoring &amp; Asset Optimization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Unisoft’s pricing architecture for </w:t>
      </w:r>
      <w:r>
        <w:rPr>
          <w:rFonts w:ascii="Calibri" w:hAnsi="Calibri" w:eastAsia="Calibri"/>
          <w:b/>
          <w:i w:val="0"/>
          <w:color w:val="222222"/>
          <w:sz w:val="19"/>
        </w:rPr>
        <w:t>ULMS v2.0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eliminates the hidden consulting traps, offshore per-diem fees, and foreign exchange volatility typical of global legacy packages.</w:t>
      </w:r>
    </w:p>
    <w:p>
      <w:pPr>
        <w:pStyle w:val="Heading3"/>
        <w:keepNext/>
      </w:pPr>
      <w:r>
        <w:t>Four Binding Commercial Pillars: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100% Domestic Bangladeshi Taka (BDT) Invoicing: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Zero US Dollar exposure, zero central bank outward remittance delays, and 100% eligible NBR VAT input tax credits via UniVAT™.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Transparent Perpetual Enterprise Licensing: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Bank owns an irrevocable perpetual license to operate the platform across all sovereign datacenters without per-seat employee surcharges.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Turnkey Fixed-Price Implementation: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Pre-defined milestone delivery guaranteeing no scope-creep change orders for agreed requirements.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Capped Annual Maintenance Contract (AMC):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Year 1 warranty is included free (0%); Years 2 through 5 are fixed at exactly </w:t>
      </w:r>
      <w:r>
        <w:rPr>
          <w:rFonts w:ascii="Calibri" w:hAnsi="Calibri" w:eastAsia="Calibri"/>
          <w:b/>
          <w:i w:val="0"/>
          <w:color w:val="222222"/>
          <w:sz w:val="19"/>
        </w:rPr>
        <w:t>20% of the initial software license fee</w:t>
      </w:r>
      <w:r>
        <w:rPr>
          <w:rFonts w:ascii="Calibri" w:hAnsi="Calibri" w:eastAsia="Calibri"/>
          <w:b w:val="0"/>
          <w:i w:val="0"/>
          <w:color w:val="222222"/>
          <w:sz w:val="19"/>
        </w:rPr>
        <w:t>.</w:t>
      </w:r>
    </w:p>
    <w:p>
      <w:pPr>
        <w:pStyle w:val="Heading2"/>
        <w:keepNext/>
      </w:pPr>
      <w:r>
        <w:t>2. Enterprise Tier Pricing Matrix (Turnkey Deployments)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 descr="Borrower repayment gateway screen" title="Figure 3: Transaction Velocity — Automated Collection Rails via Real-Time MFS Integ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borrower_p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3: Transaction Velocity — Automated Collection Rails via Real-Time MFS Integration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  ULMS v2.0 COMMERCIAL TIER MATRIX   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├───────────────────────────────┬──────────────┬──────────────┬───────────────┤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Commercial Dimension          │ TIER 1:      │ TIER 2:      │ TIER 3: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          │ Scheduled    │ Islamic      │ Specialized /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          │ PCB (Conv.)  │ Banking (Full│ NBFI / Digital│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├───────────────────────────────┼──────────────┼──────────────┼───────────────┤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Portfolio Capacity        │ ৳10,000 Cr+  │ ৳10,000 Cr+  │ Up to ৳2,000Cr│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Branch / Outlet License   │ Up to 150 Br.│ Up to 150 Br.│ Up to 40 Br.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Staff User Seats          │ Unlimited    │ Unlimited    │ Up to 250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├───────────────────────────────┼──────────────┼──────────────┼───────────────┤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1. Software License Fee   │ ৳ 2,50,00,000│ ৳ 2,75,00,000│ ৳ 1,60,00,000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2. Implementation &amp; CBS   │ ৳ 1,20,00,000│ ৳ 1,30,00,000│ ৳   80,00,000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3. Training &amp; UAT Support │ ৳   30,00,000│ ৳   35,00,000│ ৳   20,00,000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4. Year 1 Warranty        │ Included (৳0)│ Included (৳0)│ Included (৳0)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├───────────────────────────────┼──────────────┼──────────────┼───────────────┤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TOTAL INITIAL INVESTMENT  │৳4,00,00,000│৳4,40,00,000│৳2,60,00,000│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├───────────────────────────────┼──────────────┼──────────────┼───────────────┤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Annual AMC (Years 2-5)    │ ৳ 50,00,000/y│ ৳ 55,00,000/y│ ৳ 32,00,000/y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└───────────────────────────────┴──────────────┴──────────────┴───────────────┘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*(All prices in Bangladeshi Taka (BDT) excluding statutory 15% NBR VAT)*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 Modular Perpetual License Component Breakdown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For banks procuring modular capabilities or specialized subsystem add-ons: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 Identifier</w:t>
            </w:r>
          </w:p>
        </w:tc>
        <w:tc>
          <w:tcPr>
            <w:tcW w:type="dxa" w:w="311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Functional Capability</w:t>
            </w:r>
          </w:p>
        </w:tc>
        <w:tc>
          <w:tcPr>
            <w:tcW w:type="dxa" w:w="453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Perpetual License Price (BDT)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MOD-01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ULMS Core Lending Engine: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Retail, SME, BOCC Memo Generator, Document Vault</w:t>
            </w:r>
          </w:p>
        </w:tc>
        <w:tc>
          <w:tcPr>
            <w:tcW w:type="dxa" w:w="453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80,00,000</w:t>
            </w:r>
          </w:p>
        </w:tc>
      </w:tr>
      <w:tr>
        <w:trPr>
          <w:cantSplit/>
        </w:trPr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MOD-02</w:t>
            </w:r>
          </w:p>
        </w:tc>
        <w:tc>
          <w:tcPr>
            <w:tcW w:type="dxa" w:w="311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7-Level Delegation of Authority (DOA) Approval Hierarchy: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Multi-level state engine</w:t>
            </w:r>
          </w:p>
        </w:tc>
        <w:tc>
          <w:tcPr>
            <w:tcW w:type="dxa" w:w="453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30,00,000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MOD-03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Core Banking Disbursement &amp; Servicing Hub: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EMI calculator, limit loading, GL staging</w:t>
            </w:r>
          </w:p>
        </w:tc>
        <w:tc>
          <w:tcPr>
            <w:tcW w:type="dxa" w:w="453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40,00,000</w:t>
            </w:r>
          </w:p>
        </w:tc>
      </w:tr>
      <w:tr>
        <w:trPr>
          <w:cantSplit/>
        </w:trPr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MOD-04</w:t>
            </w:r>
          </w:p>
        </w:tc>
        <w:tc>
          <w:tcPr>
            <w:tcW w:type="dxa" w:w="311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BRPD 15/2024 &amp; IFRS-9 ECL Engine: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Automated 7-stage classifier &amp; CL-1..5 exporter</w:t>
            </w:r>
          </w:p>
        </w:tc>
        <w:tc>
          <w:tcPr>
            <w:tcW w:type="dxa" w:w="453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45,00,000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MOD-05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Real-Time CIB Online REST Gateway: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Automated parser &amp; multi-facility deduplication</w:t>
            </w:r>
          </w:p>
        </w:tc>
        <w:tc>
          <w:tcPr>
            <w:tcW w:type="dxa" w:w="453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25,00,000</w:t>
            </w:r>
          </w:p>
        </w:tc>
      </w:tr>
      <w:tr>
        <w:trPr>
          <w:cantSplit/>
        </w:trPr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MOD-06</w:t>
            </w:r>
          </w:p>
        </w:tc>
        <w:tc>
          <w:tcPr>
            <w:tcW w:type="dxa" w:w="311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Election Commission NIDW / e-KYC Module: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Facial liveness &amp; biometric OCR</w:t>
            </w:r>
          </w:p>
        </w:tc>
        <w:tc>
          <w:tcPr>
            <w:tcW w:type="dxa" w:w="453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15,00,000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MOD-07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Islamic Shariah Multi-Asset Engine: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Murabaha, Ijara, Bai-Muajjal accounting rules</w:t>
            </w:r>
          </w:p>
        </w:tc>
        <w:tc>
          <w:tcPr>
            <w:tcW w:type="dxa" w:w="453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25,00,000</w:t>
            </w:r>
          </w:p>
        </w:tc>
      </w:tr>
      <w:tr>
        <w:trPr>
          <w:cantSplit/>
        </w:trPr>
        <w:tc>
          <w:tcPr>
            <w:tcW w:type="dxa" w:w="198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MOD-08</w:t>
            </w:r>
          </w:p>
        </w:tc>
        <w:tc>
          <w:tcPr>
            <w:tcW w:type="dxa" w:w="311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Field Officer Mobility App (Expo 54+):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 xml:space="preserve"> Offline GPS collection, receipts &amp; sync</w:t>
            </w:r>
          </w:p>
        </w:tc>
        <w:tc>
          <w:tcPr>
            <w:tcW w:type="dxa" w:w="453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20,00,000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4. Implementation Services Milestone Billing Schedule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To ensure zero delivery risk for bank leadership, implementation fees (BDT 1,20,00,000 for Tier-1) are strictly tied to verifiable technical milestones: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MILESTONE-BASED DISBURSEMENT SCHEDULE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├─────────┬───────────────────────────────────────────┬──────────┬────────────┤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Milestone│ Verifiable Deliverable Acceptance         │ Timeline │ Billing %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├─────────┼───────────────────────────────────────────┼──────────┼────────────┤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M-01│ Contract Execution &amp; Initiation Sign-off  │ Week 1   │    20%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M-02│ System Architecture &amp; CBS Gap Sign-off    │ Week 3   │    20%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M-03│ Sandbox Deployment &amp; CBS Connector Live   │ Week 7   │    25%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M-04│ User Acceptance Testing (UAT) Sign-off    │ Week 10  │    20%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M-05│ Production Go-Live &amp; Pilot Sign-off       │ Week 12  │    15%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├─────────┼───────────────────────────────────────────┼──────────┼────────────┤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TOTAL│ Complete Turnkey Operationalization       │ 12 Weeks │   100%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└─────────┴───────────────────────────────────────────┴──────────┴────────────┘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5. Professional Services Rate Card (Change Orders &amp; Custom Modules)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For bespoke software customizations beyond the baseline Statement of Work (SOW):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Engineering Role / Level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Daily Rate (BDT)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Monthly Rate (BDT)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Minimum Commitment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Principal Banking Solutions Architect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45,000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8,50,000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 Days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Senior Spring Boot / Fineract Engineer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32,000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6,00,000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 Days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Senior React 19 Frontend Engineer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28,000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5,20,000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 Days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Senior Database &amp; PostgreSQL DBA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30,00,000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5,50,000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 Days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Quality Assurance &amp; Automation Engineer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20,000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৳ 3,80,000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 Days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Unisoft Systems Limited — Commercial Operations &amp; Enterprise Pricing Directorate.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Unisoft Systems Limited · Strictly Confidential · 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Unisoft Loan Management System (ULMS v2.0) — Commercial Pricing Model &amp; Licensing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Pricing Model &amp; Licensing Matrix</dc:title>
  <dc:subject/>
  <dc:creator>Unisoft Systems Limited</dc:creator>
  <cp:keywords/>
  <dc:description>A Subsidiary of Smart Technologies BD Ltd</dc:description>
  <cp:lastModifiedBy/>
  <cp:revision>1</cp:revision>
  <dcterms:created xsi:type="dcterms:W3CDTF">2013-12-23T23:15:00Z</dcterms:created>
  <dcterms:modified xsi:type="dcterms:W3CDTF">2013-12-23T23:15:00Z</dcterms:modified>
  <cp:category>Commercial Banking Documentation</cp:category>
</cp:coreProperties>
</file>