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i w:val="0"/>
          <w:color w:val="1E2660"/>
          <w:sz w:val="17"/>
        </w:rPr>
        <w:t xml:space="preserve">UNISOFT SYSTEMS LIMITED </w:t>
      </w:r>
      <w:r>
        <w:rPr>
          <w:rFonts w:ascii="Calibri" w:hAnsi="Calibri" w:eastAsia="Calibri"/>
          <w:b w:val="0"/>
          <w:i w:val="0"/>
          <w:color w:val="555555"/>
          <w:sz w:val="16"/>
        </w:rPr>
        <w:t>· A SUBSIDIARY OF SMART TECHNOLOGIES BD LTD</w:t>
      </w:r>
    </w:p>
    <w:p>
      <w:pPr>
        <w:keepNext/>
        <w:spacing w:before="80" w:after="80"/>
      </w:pPr>
      <w:r>
        <w:rPr>
          <w:rFonts w:ascii="Calibri" w:hAnsi="Calibri" w:eastAsia="Calibri"/>
          <w:b/>
          <w:i w:val="0"/>
          <w:color w:val="1E2660"/>
          <w:sz w:val="38"/>
        </w:rPr>
        <w:t>Enterprise TCO &amp; ROI Financial Justification Model</w:t>
      </w:r>
    </w:p>
    <w:p>
      <w:pPr>
        <w:keepNext/>
        <w:spacing w:before="0" w:after="160"/>
      </w:pPr>
      <w:r>
        <w:rPr>
          <w:rFonts w:ascii="Calibri" w:hAnsi="Calibri" w:eastAsia="Calibri"/>
          <w:b/>
          <w:i w:val="0"/>
          <w:color w:val="3F51B5"/>
          <w:sz w:val="19"/>
        </w:rPr>
        <w:t xml:space="preserve">Commercial Banking Documentation · Document Ref: </w:t>
      </w:r>
      <w:r>
        <w:rPr>
          <w:rFonts w:ascii="Consolas" w:hAnsi="Consolas" w:eastAsia="Consolas"/>
          <w:b w:val="0"/>
          <w:i w:val="0"/>
          <w:color w:val="1E2660"/>
          <w:sz w:val="19"/>
        </w:rPr>
        <w:t>DOC-32-FIN-01</w:t>
      </w:r>
    </w:p>
    <w:tbl>
      <w:tblPr>
        <w:tblW w:type="auto" w:w="0"/>
        <w:jc w:val="center"/>
        <w:tblLook w:firstColumn="1" w:firstRow="1" w:lastColumn="0" w:lastRow="0" w:noHBand="0" w:noVBand="1" w:val="04A0"/>
      </w:tblPr>
      <w:tblGrid>
        <w:gridCol w:w="9638"/>
      </w:tblGrid>
      <w:tr>
        <w:trPr>
          <w:trHeight w:val="40" w:hRule="exact"/>
        </w:trPr>
        <w:tc>
          <w:tcPr>
            <w:tcW w:type="dxa" w:w="9638"/>
            <w:shd w:fill="1E2660"/>
          </w:tcPr>
          <w:p>
            <w:pPr>
              <w:spacing w:before="0" w:after="0"/>
            </w:pPr>
            <w:r>
              <w:rPr>
                <w:sz w:val="4"/>
              </w:rPr>
            </w:r>
          </w:p>
        </w:tc>
      </w:tr>
    </w:tbl>
    <w:p>
      <w:pPr>
        <w:spacing w:after="120"/>
      </w:pP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28"/>
        <w:gridCol w:w="1928"/>
        <w:gridCol w:w="1928"/>
        <w:gridCol w:w="1928"/>
        <w:gridCol w:w="1928"/>
      </w:tblGrid>
      <w:tr>
        <w:trPr>
          <w:tblHeader w:val="true"/>
          <w:cantSplit/>
        </w:trPr>
        <w:tc>
          <w:tcPr>
            <w:tcW w:type="dxa" w:w="1417"/>
            <w:shd w:fill="1E2660"/>
            <w:tcMar>
              <w:top w:w="140" w:type="dxa"/>
              <w:bottom w:w="140" w:type="dxa"/>
              <w:left w:w="180" w:type="dxa"/>
              <w:right w:w="180" w:type="dxa"/>
            </w:tcMar>
          </w:tcPr>
          <w:p>
            <w:pPr>
              <w:spacing w:after="40"/>
            </w:pPr>
            <w:r>
              <w:rPr>
                <w:rFonts w:ascii="Calibri" w:hAnsi="Calibri" w:eastAsia="Calibri"/>
                <w:b/>
                <w:i w:val="0"/>
                <w:color w:val="FFFFFF"/>
                <w:sz w:val="18"/>
              </w:rPr>
              <w:t>Document Identifier</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Release Version</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Security Classification</w:t>
            </w:r>
          </w:p>
        </w:tc>
        <w:tc>
          <w:tcPr>
            <w:tcW w:type="dxa" w:w="2551"/>
            <w:shd w:fill="1E2660"/>
            <w:tcMar>
              <w:top w:w="140" w:type="dxa"/>
              <w:bottom w:w="140" w:type="dxa"/>
              <w:left w:w="180" w:type="dxa"/>
              <w:right w:w="180" w:type="dxa"/>
            </w:tcMar>
          </w:tcPr>
          <w:p>
            <w:pPr>
              <w:spacing w:after="40"/>
            </w:pPr>
            <w:r>
              <w:rPr>
                <w:rFonts w:ascii="Calibri" w:hAnsi="Calibri" w:eastAsia="Calibri"/>
                <w:b/>
                <w:i w:val="0"/>
                <w:color w:val="FFFFFF"/>
                <w:sz w:val="18"/>
              </w:rPr>
              <w:t>Publication Date</w:t>
            </w:r>
          </w:p>
        </w:tc>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Target Audience</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val="0"/>
                <w:i w:val="0"/>
                <w:color w:val="222222"/>
                <w:sz w:val="18"/>
              </w:rPr>
              <w:t>DOC-32-FIN-01</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2.0.0</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Commercial Strategy &amp; Financial Model Asset</w:t>
            </w:r>
          </w:p>
        </w:tc>
        <w:tc>
          <w:tcPr>
            <w:tcW w:type="dxa" w:w="2551"/>
            <w:tcMar>
              <w:top w:w="120" w:type="dxa"/>
              <w:bottom w:w="120" w:type="dxa"/>
              <w:left w:w="160" w:type="dxa"/>
              <w:right w:w="160" w:type="dxa"/>
            </w:tcMar>
          </w:tcPr>
          <w:p>
            <w:pPr>
              <w:spacing w:after="40" w:line="276" w:lineRule="auto"/>
            </w:pPr>
            <w:r>
              <w:rPr>
                <w:rFonts w:ascii="Calibri" w:hAnsi="Calibri" w:eastAsia="Calibri"/>
                <w:b w:val="0"/>
                <w:i w:val="0"/>
                <w:color w:val="222222"/>
                <w:sz w:val="18"/>
              </w:rPr>
              <w:t>2026-10-08</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[cfo, managing_director, board_member, head_of_procurement]</w:t>
            </w:r>
          </w:p>
        </w:tc>
      </w:tr>
    </w:tbl>
    <w:p>
      <w:pPr>
        <w:spacing w:after="80"/>
      </w:pPr>
    </w:p>
    <w:p>
      <w:pPr>
        <w:pStyle w:val="Heading2"/>
        <w:keepNext/>
      </w:pPr>
      <w:r>
        <w:t>5-Year Total Cost of Ownership Comparison &amp; Investment Return Calculator for Bangladesh Commercial Banks</w:t>
      </w:r>
    </w:p>
    <w:p>
      <w:pPr>
        <w:keepNext/>
        <w:spacing w:before="160" w:after="40"/>
        <w:jc w:val="center"/>
      </w:pPr>
      <w:r>
        <w:drawing>
          <wp:inline xmlns:a="http://schemas.openxmlformats.org/drawingml/2006/main" xmlns:pic="http://schemas.openxmlformats.org/drawingml/2006/picture">
            <wp:extent cx="5688000" cy="1436248"/>
            <wp:docPr id="1" name="Picture 1" descr="ROI and NPV mathematical visualization" title="Figure 1: Financial Proof — 5-Year Cumulative Net Benefit (৳48.23 Cr) &amp; 6.64-Month Payback"/>
            <wp:cNvGraphicFramePr>
              <a:graphicFrameLocks noChangeAspect="1"/>
            </wp:cNvGraphicFramePr>
            <a:graphic>
              <a:graphicData uri="http://schemas.openxmlformats.org/drawingml/2006/picture">
                <pic:pic>
                  <pic:nvPicPr>
                    <pic:cNvPr id="0" name="E7_kpis.png"/>
                    <pic:cNvPicPr/>
                  </pic:nvPicPr>
                  <pic:blipFill>
                    <a:blip r:embed="rId11"/>
                    <a:stretch>
                      <a:fillRect/>
                    </a:stretch>
                  </pic:blipFill>
                  <pic:spPr>
                    <a:xfrm>
                      <a:off x="0" y="0"/>
                      <a:ext cx="5688000" cy="1436248"/>
                    </a:xfrm>
                    <a:prstGeom prst="rect"/>
                  </pic:spPr>
                </pic:pic>
              </a:graphicData>
            </a:graphic>
          </wp:inline>
        </w:drawing>
      </w:r>
    </w:p>
    <w:p>
      <w:pPr>
        <w:spacing w:before="40" w:after="160"/>
        <w:jc w:val="center"/>
      </w:pPr>
      <w:r>
        <w:rPr>
          <w:rFonts w:ascii="Calibri" w:hAnsi="Calibri" w:eastAsia="Calibri"/>
          <w:b/>
          <w:i/>
          <w:color w:val="555555"/>
          <w:sz w:val="17"/>
        </w:rPr>
        <w:t>Figure 1: Financial Proof — 5-Year Cumulative Net Benefit (৳48.23 Cr) &amp; 6.64-Month Payback</w:t>
      </w:r>
    </w:p>
    <w:p>
      <w:pPr>
        <w:spacing w:after="80" w:line="276" w:lineRule="auto"/>
      </w:pPr>
      <w:r>
        <w:rPr>
          <w:rFonts w:ascii="Calibri" w:hAnsi="Calibri" w:eastAsia="Calibri"/>
          <w:b/>
          <w:i w:val="0"/>
          <w:color w:val="222222"/>
          <w:sz w:val="19"/>
        </w:rPr>
        <w:t>Document Identifier:</w:t>
      </w:r>
      <w:r>
        <w:rPr>
          <w:rFonts w:ascii="Calibri" w:hAnsi="Calibri" w:eastAsia="Calibri"/>
          <w:b w:val="0"/>
          <w:i w:val="0"/>
          <w:color w:val="222222"/>
          <w:sz w:val="19"/>
        </w:rPr>
        <w:t xml:space="preserve"> DOC-32-FIN-02</w:t>
      </w:r>
    </w:p>
    <w:p>
      <w:pPr>
        <w:spacing w:after="80" w:line="276" w:lineRule="auto"/>
      </w:pPr>
      <w:r>
        <w:rPr>
          <w:rFonts w:ascii="Calibri" w:hAnsi="Calibri" w:eastAsia="Calibri"/>
          <w:b/>
          <w:i w:val="0"/>
          <w:color w:val="222222"/>
          <w:sz w:val="19"/>
        </w:rPr>
        <w:t>Target Sales Stage:</w:t>
      </w:r>
      <w:r>
        <w:rPr>
          <w:rFonts w:ascii="Calibri" w:hAnsi="Calibri" w:eastAsia="Calibri"/>
          <w:b w:val="0"/>
          <w:i w:val="0"/>
          <w:color w:val="222222"/>
          <w:sz w:val="19"/>
        </w:rPr>
        <w:t xml:space="preserve"> Commercial Negotiation &amp; Board Budget Approval</w:t>
      </w:r>
    </w:p>
    <w:p>
      <w:pPr>
        <w:spacing w:after="80" w:line="276" w:lineRule="auto"/>
      </w:pPr>
      <w:r>
        <w:rPr>
          <w:rFonts w:ascii="Calibri" w:hAnsi="Calibri" w:eastAsia="Calibri"/>
          <w:b/>
          <w:i w:val="0"/>
          <w:color w:val="222222"/>
          <w:sz w:val="19"/>
        </w:rPr>
        <w:t>Author:</w:t>
      </w:r>
      <w:r>
        <w:rPr>
          <w:rFonts w:ascii="Calibri" w:hAnsi="Calibri" w:eastAsia="Calibri"/>
          <w:b w:val="0"/>
          <w:i w:val="0"/>
          <w:color w:val="222222"/>
          <w:sz w:val="19"/>
        </w:rPr>
        <w:t xml:space="preserve"> Chief Commercial Officer &amp; Lead Financial Analyst</w:t>
      </w:r>
    </w:p>
    <w:p>
      <w:pPr>
        <w:spacing w:after="80" w:line="276" w:lineRule="auto"/>
      </w:pPr>
      <w:r>
        <w:rPr>
          <w:rFonts w:ascii="Calibri" w:hAnsi="Calibri" w:eastAsia="Calibri"/>
          <w:b/>
          <w:i w:val="0"/>
          <w:color w:val="222222"/>
          <w:sz w:val="19"/>
        </w:rPr>
        <w:t>Publisher:</w:t>
      </w:r>
      <w:r>
        <w:rPr>
          <w:rFonts w:ascii="Calibri" w:hAnsi="Calibri" w:eastAsia="Calibri"/>
          <w:b w:val="0"/>
          <w:i w:val="0"/>
          <w:color w:val="222222"/>
          <w:sz w:val="19"/>
        </w:rPr>
        <w:t xml:space="preserve"> Unisoft Systems Limited (A Subsidiary of Smart Technologies BD Ltd)</w:t>
      </w:r>
    </w:p>
    <w:p>
      <w:pPr>
        <w:spacing w:after="80" w:line="276" w:lineRule="auto"/>
      </w:pPr>
      <w:r>
        <w:rPr>
          <w:rFonts w:ascii="Calibri" w:hAnsi="Calibri" w:eastAsia="Calibri"/>
          <w:b/>
          <w:i w:val="0"/>
          <w:color w:val="222222"/>
          <w:sz w:val="19"/>
        </w:rPr>
        <w:t>Classification:</w:t>
      </w:r>
      <w:r>
        <w:rPr>
          <w:rFonts w:ascii="Calibri" w:hAnsi="Calibri" w:eastAsia="Calibri"/>
          <w:b w:val="0"/>
          <w:i w:val="0"/>
          <w:color w:val="222222"/>
          <w:sz w:val="19"/>
        </w:rPr>
        <w:t xml:space="preserve"> Commercial Strategy &amp; Financial Model Asset</w:t>
      </w:r>
    </w:p>
    <w:p>
      <w:pPr>
        <w:spacing w:after="80" w:line="276" w:lineRule="auto"/>
      </w:pPr>
      <w:r>
        <w:rPr>
          <w:rFonts w:ascii="Calibri" w:hAnsi="Calibri" w:eastAsia="Calibri"/>
          <w:b/>
          <w:i w:val="0"/>
          <w:color w:val="222222"/>
          <w:sz w:val="19"/>
        </w:rPr>
        <w:t>Version:</w:t>
      </w:r>
      <w:r>
        <w:rPr>
          <w:rFonts w:ascii="Calibri" w:hAnsi="Calibri" w:eastAsia="Calibri"/>
          <w:b w:val="0"/>
          <w:i w:val="0"/>
          <w:color w:val="222222"/>
          <w:sz w:val="19"/>
        </w:rPr>
        <w:t xml:space="preserve"> 2.0.0</w:t>
      </w:r>
    </w:p>
    <w:p>
      <w:pPr>
        <w:pStyle w:val="Heading2"/>
        <w:keepNext/>
      </w:pPr>
      <w:r>
        <w:t>1. Executive Summary &amp; Problem Context</w:t>
      </w:r>
    </w:p>
    <w:p>
      <w:pPr>
        <w:keepNext/>
        <w:spacing w:before="160" w:after="40"/>
        <w:jc w:val="center"/>
      </w:pPr>
      <w:r>
        <w:drawing>
          <wp:inline xmlns:a="http://schemas.openxmlformats.org/drawingml/2006/main" xmlns:pic="http://schemas.openxmlformats.org/drawingml/2006/picture">
            <wp:extent cx="5688000" cy="3199500"/>
            <wp:docPr id="2" name="Picture 2" descr="BRPD 15 statutory provisioning interface" title="Figure 2: Risk Mitigation — NPL Provisioning Cost Reduction via Automated DPD Tracking"/>
            <wp:cNvGraphicFramePr>
              <a:graphicFrameLocks noChangeAspect="1"/>
            </wp:cNvGraphicFramePr>
            <a:graphic>
              <a:graphicData uri="http://schemas.openxmlformats.org/drawingml/2006/picture">
                <pic:pic>
                  <pic:nvPicPr>
                    <pic:cNvPr id="0" name="s03_classification.png"/>
                    <pic:cNvPicPr/>
                  </pic:nvPicPr>
                  <pic:blipFill>
                    <a:blip r:embed="rId12"/>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2: Risk Mitigation — NPL Provisioning Cost Reduction via Automated DPD Tracking</w:t>
      </w:r>
    </w:p>
    <w:p>
      <w:pPr>
        <w:spacing w:after="80" w:line="276" w:lineRule="auto"/>
      </w:pPr>
      <w:r>
        <w:rPr>
          <w:rFonts w:ascii="Calibri" w:hAnsi="Calibri" w:eastAsia="Calibri"/>
          <w:b w:val="0"/>
          <w:i w:val="0"/>
          <w:color w:val="222222"/>
          <w:sz w:val="19"/>
        </w:rPr>
        <w:t>Bank Chief Financial Officers (CFOs) and Board Investment Committees face a critical fiduciary responsibility: ensuring that multi-crore IT investments deliver verifiable returns while minimizing balance-sheet risk.</w:t>
      </w:r>
    </w:p>
    <w:p>
      <w:pPr>
        <w:spacing w:after="80" w:line="276" w:lineRule="auto"/>
      </w:pPr>
      <w:r>
        <w:rPr>
          <w:rFonts w:ascii="Calibri" w:hAnsi="Calibri" w:eastAsia="Calibri"/>
          <w:b w:val="0"/>
          <w:i w:val="0"/>
          <w:color w:val="222222"/>
          <w:sz w:val="19"/>
        </w:rPr>
        <w:t>Historically, commercial banks in Bangladesh evaluated software by looking only at the initial license quote, ignoring the hidden downstream costs of implementation overruns, offshore change orders, foreign exchange losses, and operational inefficiencies.</w:t>
      </w:r>
    </w:p>
    <w:p>
      <w:pPr>
        <w:spacing w:after="80" w:line="276" w:lineRule="auto"/>
      </w:pPr>
      <w:r>
        <w:rPr>
          <w:rFonts w:ascii="Calibri" w:hAnsi="Calibri" w:eastAsia="Calibri"/>
          <w:b w:val="0"/>
          <w:i w:val="0"/>
          <w:color w:val="222222"/>
          <w:sz w:val="19"/>
        </w:rPr>
        <w:t xml:space="preserve">This document provides a comprehensive </w:t>
      </w:r>
      <w:r>
        <w:rPr>
          <w:rFonts w:ascii="Calibri" w:hAnsi="Calibri" w:eastAsia="Calibri"/>
          <w:b/>
          <w:i w:val="0"/>
          <w:color w:val="222222"/>
          <w:sz w:val="19"/>
        </w:rPr>
        <w:t>5-Year Total Cost of Ownership (TCO)</w:t>
      </w:r>
      <w:r>
        <w:rPr>
          <w:rFonts w:ascii="Calibri" w:hAnsi="Calibri" w:eastAsia="Calibri"/>
          <w:b w:val="0"/>
          <w:i w:val="0"/>
          <w:color w:val="222222"/>
          <w:sz w:val="19"/>
        </w:rPr>
        <w:t xml:space="preserve"> comparison and </w:t>
      </w:r>
      <w:r>
        <w:rPr>
          <w:rFonts w:ascii="Calibri" w:hAnsi="Calibri" w:eastAsia="Calibri"/>
          <w:b/>
          <w:i w:val="0"/>
          <w:color w:val="222222"/>
          <w:sz w:val="19"/>
        </w:rPr>
        <w:t>Return on Investment (ROI)</w:t>
      </w:r>
      <w:r>
        <w:rPr>
          <w:rFonts w:ascii="Calibri" w:hAnsi="Calibri" w:eastAsia="Calibri"/>
          <w:b w:val="0"/>
          <w:i w:val="0"/>
          <w:color w:val="222222"/>
          <w:sz w:val="19"/>
        </w:rPr>
        <w:t xml:space="preserve"> model, proving that adopting </w:t>
      </w:r>
      <w:r>
        <w:rPr>
          <w:rFonts w:ascii="Calibri" w:hAnsi="Calibri" w:eastAsia="Calibri"/>
          <w:b/>
          <w:i w:val="0"/>
          <w:color w:val="222222"/>
          <w:sz w:val="19"/>
        </w:rPr>
        <w:t>ULMS v2.0</w:t>
      </w:r>
      <w:r>
        <w:rPr>
          <w:rFonts w:ascii="Calibri" w:hAnsi="Calibri" w:eastAsia="Calibri"/>
          <w:b w:val="0"/>
          <w:i w:val="0"/>
          <w:color w:val="222222"/>
          <w:sz w:val="19"/>
        </w:rPr>
        <w:t>:</w:t>
      </w:r>
    </w:p>
    <w:p>
      <w:pPr>
        <w:pStyle w:val="ListNumber"/>
        <w:spacing w:after="40" w:line="276" w:lineRule="auto"/>
      </w:pPr>
      <w:r>
        <w:rPr>
          <w:rFonts w:ascii="Calibri" w:hAnsi="Calibri" w:eastAsia="Calibri"/>
          <w:b w:val="0"/>
          <w:i w:val="0"/>
          <w:color w:val="222222"/>
          <w:sz w:val="19"/>
        </w:rPr>
        <w:t xml:space="preserve">Saves the bank </w:t>
      </w:r>
      <w:r>
        <w:rPr>
          <w:rFonts w:ascii="Calibri" w:hAnsi="Calibri" w:eastAsia="Calibri"/>
          <w:b/>
          <w:i w:val="0"/>
          <w:color w:val="222222"/>
          <w:sz w:val="19"/>
        </w:rPr>
        <w:t>BDT 89.30 Crore</w:t>
      </w:r>
      <w:r>
        <w:rPr>
          <w:rFonts w:ascii="Calibri" w:hAnsi="Calibri" w:eastAsia="Calibri"/>
          <w:b w:val="0"/>
          <w:i w:val="0"/>
          <w:color w:val="222222"/>
          <w:sz w:val="19"/>
        </w:rPr>
        <w:t xml:space="preserve"> compared to multinational software packages (Finastra, Temenos);</w:t>
      </w:r>
    </w:p>
    <w:p>
      <w:pPr>
        <w:pStyle w:val="ListNumber"/>
        <w:spacing w:after="40" w:line="276" w:lineRule="auto"/>
      </w:pPr>
      <w:r>
        <w:rPr>
          <w:rFonts w:ascii="Calibri" w:hAnsi="Calibri" w:eastAsia="Calibri"/>
          <w:b w:val="0"/>
          <w:i w:val="0"/>
          <w:color w:val="222222"/>
          <w:sz w:val="19"/>
        </w:rPr>
        <w:t xml:space="preserve">Achieves complete capital recovery within </w:t>
      </w:r>
      <w:r>
        <w:rPr>
          <w:rFonts w:ascii="Calibri" w:hAnsi="Calibri" w:eastAsia="Calibri"/>
          <w:b/>
          <w:i w:val="0"/>
          <w:color w:val="222222"/>
          <w:sz w:val="19"/>
        </w:rPr>
        <w:t>6.64 months</w:t>
      </w:r>
      <w:r>
        <w:rPr>
          <w:rFonts w:ascii="Calibri" w:hAnsi="Calibri" w:eastAsia="Calibri"/>
          <w:b w:val="0"/>
          <w:i w:val="0"/>
          <w:color w:val="222222"/>
          <w:sz w:val="19"/>
        </w:rPr>
        <w:t xml:space="preserve"> (sub-7 months, or 8.5 months under conservative phased adoption);</w:t>
      </w:r>
    </w:p>
    <w:p>
      <w:pPr>
        <w:pStyle w:val="ListNumber"/>
        <w:spacing w:after="40" w:line="276" w:lineRule="auto"/>
      </w:pPr>
      <w:r>
        <w:rPr>
          <w:rFonts w:ascii="Calibri" w:hAnsi="Calibri" w:eastAsia="Calibri"/>
          <w:b w:val="0"/>
          <w:i w:val="0"/>
          <w:color w:val="222222"/>
          <w:sz w:val="19"/>
        </w:rPr>
        <w:t xml:space="preserve">Generates a 5-year </w:t>
      </w:r>
      <w:r>
        <w:rPr>
          <w:rFonts w:ascii="Calibri" w:hAnsi="Calibri" w:eastAsia="Calibri"/>
          <w:b/>
          <w:i w:val="0"/>
          <w:color w:val="222222"/>
          <w:sz w:val="19"/>
        </w:rPr>
        <w:t>Net Present Value (NPV) of BDT 32.94 Crore</w:t>
      </w:r>
      <w:r>
        <w:rPr>
          <w:rFonts w:ascii="Calibri" w:hAnsi="Calibri" w:eastAsia="Calibri"/>
          <w:b w:val="0"/>
          <w:i w:val="0"/>
          <w:color w:val="222222"/>
          <w:sz w:val="19"/>
        </w:rPr>
        <w:t xml:space="preserve"> (at 12% corporate discount rate) with an Internal Rate of Return (IRR) of </w:t>
      </w:r>
      <w:r>
        <w:rPr>
          <w:rFonts w:ascii="Calibri" w:hAnsi="Calibri" w:eastAsia="Calibri"/>
          <w:b/>
          <w:i w:val="0"/>
          <w:color w:val="222222"/>
          <w:sz w:val="19"/>
        </w:rPr>
        <w:t>164.5%</w:t>
      </w:r>
      <w:r>
        <w:rPr>
          <w:rFonts w:ascii="Calibri" w:hAnsi="Calibri" w:eastAsia="Calibri"/>
          <w:b w:val="0"/>
          <w:i w:val="0"/>
          <w:color w:val="222222"/>
          <w:sz w:val="19"/>
        </w:rPr>
        <w:t xml:space="preserve"> and cumulative 5-year net cash benefit of </w:t>
      </w:r>
      <w:r>
        <w:rPr>
          <w:rFonts w:ascii="Calibri" w:hAnsi="Calibri" w:eastAsia="Calibri"/>
          <w:b/>
          <w:i w:val="0"/>
          <w:color w:val="222222"/>
          <w:sz w:val="19"/>
        </w:rPr>
        <w:t>BDT 48.23 Crore</w:t>
      </w:r>
      <w:r>
        <w:rPr>
          <w:rFonts w:ascii="Calibri" w:hAnsi="Calibri" w:eastAsia="Calibri"/>
          <w:b w:val="0"/>
          <w:i w:val="0"/>
          <w:color w:val="222222"/>
          <w:sz w:val="19"/>
        </w:rPr>
        <w:t>.</w:t>
      </w:r>
    </w:p>
    <w:p>
      <w:pPr>
        <w:pStyle w:val="Heading2"/>
        <w:keepNext/>
      </w:pPr>
      <w:r>
        <w:t>2. 5-Year Total Cost of Ownership (TCO) Comparative Analysis</w:t>
      </w:r>
    </w:p>
    <w:p>
      <w:pPr>
        <w:keepNext/>
        <w:spacing w:before="160" w:after="40"/>
        <w:jc w:val="center"/>
      </w:pPr>
      <w:r>
        <w:drawing>
          <wp:inline xmlns:a="http://schemas.openxmlformats.org/drawingml/2006/main" xmlns:pic="http://schemas.openxmlformats.org/drawingml/2006/picture">
            <wp:extent cx="5688000" cy="3199500"/>
            <wp:docPr id="3" name="Picture 3" descr="Collections dashboard tracking 30-60-90 DPD remediation" title="Figure 3: Recovery Efficiency — Early Delinquency Intervention &amp; Real-Time Bucket Migration"/>
            <wp:cNvGraphicFramePr>
              <a:graphicFrameLocks noChangeAspect="1"/>
            </wp:cNvGraphicFramePr>
            <a:graphic>
              <a:graphicData uri="http://schemas.openxmlformats.org/drawingml/2006/picture">
                <pic:pic>
                  <pic:nvPicPr>
                    <pic:cNvPr id="0" name="s04_collections.png"/>
                    <pic:cNvPicPr/>
                  </pic:nvPicPr>
                  <pic:blipFill>
                    <a:blip r:embed="rId13"/>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3: Recovery Efficiency — Early Delinquency Intervention &amp; Real-Time Bucket Migration</w:t>
      </w:r>
    </w:p>
    <w:p>
      <w:pPr>
        <w:spacing w:after="80" w:line="276" w:lineRule="auto"/>
      </w:pPr>
      <w:r>
        <w:rPr>
          <w:rFonts w:ascii="Calibri" w:hAnsi="Calibri" w:eastAsia="Calibri"/>
          <w:b w:val="0"/>
          <w:i w:val="0"/>
          <w:color w:val="222222"/>
          <w:sz w:val="19"/>
        </w:rPr>
        <w:t xml:space="preserve">The table below contrasts three alternative approaches for a scheduled commercial bank managing an aggregate loan portfolio of </w:t>
      </w:r>
      <w:r>
        <w:rPr>
          <w:rFonts w:ascii="Calibri" w:hAnsi="Calibri" w:eastAsia="Calibri"/>
          <w:b/>
          <w:i w:val="0"/>
          <w:color w:val="222222"/>
          <w:sz w:val="19"/>
        </w:rPr>
        <w:t>BDT 10,000 Crore (USD ~850M)</w:t>
      </w:r>
      <w:r>
        <w:rPr>
          <w:rFonts w:ascii="Calibri" w:hAnsi="Calibri" w:eastAsia="Calibri"/>
          <w:b w:val="0"/>
          <w:i w:val="0"/>
          <w:color w:val="222222"/>
          <w:sz w:val="19"/>
        </w:rPr>
        <w:t xml:space="preserve"> across 100 branches: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38"/>
      </w:tblGrid>
      <w:tr>
        <w:tc>
          <w:tcPr>
            <w:tcW w:type="dxa" w:w="9638"/>
            <w:shd w:fill="F6F8FA"/>
            <w:tcMar>
              <w:top w:w="120" w:type="dxa"/>
              <w:bottom w:w="120" w:type="dxa"/>
              <w:left w:w="160" w:type="dxa"/>
              <w:right w:w="160" w:type="dxa"/>
            </w:tcMar>
          </w:tcPr>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5-YEAR TCO COMPARATIVE MODEL (IN BDT CRORE)                 │</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Cost Component                    │ Option A:    │ Option B:   │ Option C:  │</w:t>
            </w:r>
          </w:p>
          <w:p>
            <w:pPr>
              <w:spacing w:after="20" w:line="252" w:lineRule="auto"/>
            </w:pPr>
            <w:r>
              <w:rPr>
                <w:rFonts w:ascii="Consolas" w:hAnsi="Consolas" w:eastAsia="Consolas"/>
                <w:b w:val="0"/>
                <w:i w:val="0"/>
                <w:color w:val="222222"/>
                <w:sz w:val="17"/>
              </w:rPr>
              <w:t>│                                   │ Global LMS   │ In-House IT │ Unisoft    │</w:t>
            </w:r>
          </w:p>
          <w:p>
            <w:pPr>
              <w:spacing w:after="20" w:line="252" w:lineRule="auto"/>
            </w:pPr>
            <w:r>
              <w:rPr>
                <w:rFonts w:ascii="Consolas" w:hAnsi="Consolas" w:eastAsia="Consolas"/>
                <w:b w:val="0"/>
                <w:i w:val="0"/>
                <w:color w:val="222222"/>
                <w:sz w:val="17"/>
              </w:rPr>
              <w:t>│                                   │ (Finastra)   │ Build       │ ULMS v2.0  │</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1. Upfront Software License Fee   │ ৳ 35.00 Cr   │ ৳  0.00 Cr  │ ৳  2.50 Cr │</w:t>
            </w:r>
          </w:p>
          <w:p>
            <w:pPr>
              <w:spacing w:after="20" w:line="252" w:lineRule="auto"/>
            </w:pPr>
            <w:r>
              <w:rPr>
                <w:rFonts w:ascii="Consolas" w:hAnsi="Consolas" w:eastAsia="Consolas"/>
                <w:b w:val="0"/>
                <w:i w:val="0"/>
                <w:color w:val="222222"/>
                <w:sz w:val="17"/>
              </w:rPr>
              <w:t>│ 2. Implementation &amp; Integration   │ ৳ 12.00 Cr   │ ৳  4.50 Cr  │ ৳  1.20 Cr │</w:t>
            </w:r>
          </w:p>
          <w:p>
            <w:pPr>
              <w:spacing w:after="20" w:line="252" w:lineRule="auto"/>
            </w:pPr>
            <w:r>
              <w:rPr>
                <w:rFonts w:ascii="Consolas" w:hAnsi="Consolas" w:eastAsia="Consolas"/>
                <w:b w:val="0"/>
                <w:i w:val="0"/>
                <w:color w:val="222222"/>
                <w:sz w:val="17"/>
              </w:rPr>
              <w:t>│ 3. Training &amp; Change Management   │ ৳  1.50 Cr   │ ৳  0.80 Cr  │ ৳  0.30 Cr │</w:t>
            </w:r>
          </w:p>
          <w:p>
            <w:pPr>
              <w:spacing w:after="20" w:line="252" w:lineRule="auto"/>
            </w:pPr>
            <w:r>
              <w:rPr>
                <w:rFonts w:ascii="Consolas" w:hAnsi="Consolas" w:eastAsia="Consolas"/>
                <w:b w:val="0"/>
                <w:i w:val="0"/>
                <w:color w:val="222222"/>
                <w:sz w:val="17"/>
              </w:rPr>
              <w:t>│ 4. Specialized Hardware Sizing    │ ৳  6.50 Cr   │ ৳  3.00 Cr  │ ৳  1.80 Cr │</w:t>
            </w:r>
          </w:p>
          <w:p>
            <w:pPr>
              <w:spacing w:after="20" w:line="252" w:lineRule="auto"/>
            </w:pPr>
            <w:r>
              <w:rPr>
                <w:rFonts w:ascii="Consolas" w:hAnsi="Consolas" w:eastAsia="Consolas"/>
                <w:b w:val="0"/>
                <w:i w:val="0"/>
                <w:color w:val="222222"/>
                <w:sz w:val="17"/>
              </w:rPr>
              <w:t>│ 5. Recurring AMC (Years 2 to 5)   │ ৳ 29.30 Cr   │ ৳  0.00 Cr  │ ৳  1.70 Cr │</w:t>
            </w:r>
          </w:p>
          <w:p>
            <w:pPr>
              <w:spacing w:after="20" w:line="252" w:lineRule="auto"/>
            </w:pPr>
            <w:r>
              <w:rPr>
                <w:rFonts w:ascii="Consolas" w:hAnsi="Consolas" w:eastAsia="Consolas"/>
                <w:b w:val="0"/>
                <w:i w:val="0"/>
                <w:color w:val="222222"/>
                <w:sz w:val="17"/>
              </w:rPr>
              <w:t>│ 6. Developer Payroll (Years 1-5)  │ ৳  0.00 Cr   │ ৳ 11.20 Cr  │ ৳  0.00 Cr │</w:t>
            </w:r>
          </w:p>
          <w:p>
            <w:pPr>
              <w:spacing w:after="20" w:line="252" w:lineRule="auto"/>
            </w:pPr>
            <w:r>
              <w:rPr>
                <w:rFonts w:ascii="Consolas" w:hAnsi="Consolas" w:eastAsia="Consolas"/>
                <w:b w:val="0"/>
                <w:i w:val="0"/>
                <w:color w:val="222222"/>
                <w:sz w:val="17"/>
              </w:rPr>
              <w:t>│ 7. Regulatory Change Order Fees   │ ৳  4.50 Cr   │ ৳  2.50 Cr  │ ৳  0.00 Cr │</w:t>
            </w:r>
          </w:p>
          <w:p>
            <w:pPr>
              <w:spacing w:after="20" w:line="252" w:lineRule="auto"/>
            </w:pPr>
            <w:r>
              <w:rPr>
                <w:rFonts w:ascii="Consolas" w:hAnsi="Consolas" w:eastAsia="Consolas"/>
                <w:b w:val="0"/>
                <w:i w:val="0"/>
                <w:color w:val="222222"/>
                <w:sz w:val="17"/>
              </w:rPr>
              <w:t>│ 8. Foreign Exchange Risk Premium  │ ৳  8.00 Cr   │ ৳  0.00 Cr  │ ৳  0.00 Cr │</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TOTAL 5-YEAR TCO SPEND        │ ৳ 96.80 Cr│৳ 22.00 Cr│৳ 7.50 Cr│</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NET VARIANCE VS. ULMS         │ +৳89.30 Cr│+৳14.50 Cr│ BASELINE│</w:t>
            </w:r>
          </w:p>
          <w:p>
            <w:pPr>
              <w:spacing w:after="20" w:line="252" w:lineRule="auto"/>
            </w:pPr>
            <w:r>
              <w:rPr>
                <w:rFonts w:ascii="Consolas" w:hAnsi="Consolas" w:eastAsia="Consolas"/>
                <w:b w:val="0"/>
                <w:i w:val="0"/>
                <w:color w:val="222222"/>
                <w:sz w:val="17"/>
              </w:rPr>
              <w:t>└───────────────────────────────────┴──────────────┴─────────────┴────────────┘</w:t>
            </w:r>
          </w:p>
        </w:tc>
      </w:tr>
    </w:tbl>
    <w:p>
      <w:pPr>
        <w:spacing w:after="80"/>
      </w:pPr>
    </w:p>
    <w:p>
      <w:pPr>
        <w:pStyle w:val="Heading3"/>
        <w:keepNext/>
      </w:pPr>
      <w:r>
        <w:t>Explanatory Analysis of Cost Drivers:</w:t>
      </w:r>
    </w:p>
    <w:p>
      <w:pPr>
        <w:pStyle w:val="ListBullet"/>
        <w:spacing w:after="40" w:line="276" w:lineRule="auto"/>
      </w:pPr>
      <w:r>
        <w:rPr>
          <w:rFonts w:ascii="Calibri" w:hAnsi="Calibri" w:eastAsia="Calibri"/>
          <w:b/>
          <w:i w:val="0"/>
          <w:color w:val="222222"/>
          <w:sz w:val="19"/>
        </w:rPr>
        <w:t>Option A (Foreign Global Package):</w:t>
      </w:r>
      <w:r>
        <w:rPr>
          <w:rFonts w:ascii="Calibri" w:hAnsi="Calibri" w:eastAsia="Calibri"/>
          <w:b w:val="0"/>
          <w:i w:val="0"/>
          <w:color w:val="222222"/>
          <w:sz w:val="19"/>
        </w:rPr>
        <w:t xml:space="preserve"> Heavily burdened by US Dollar licensing ($3.0M license, $1.0M implementation, 22% annual AMC), expensive offshore consulting fees ($1,500/day), and recurring foreign exchange depreciation charges.</w:t>
      </w:r>
    </w:p>
    <w:p>
      <w:pPr>
        <w:pStyle w:val="ListBullet"/>
        <w:spacing w:after="40" w:line="276" w:lineRule="auto"/>
      </w:pPr>
      <w:r>
        <w:rPr>
          <w:rFonts w:ascii="Calibri" w:hAnsi="Calibri" w:eastAsia="Calibri"/>
          <w:b/>
          <w:i w:val="0"/>
          <w:color w:val="222222"/>
          <w:sz w:val="19"/>
        </w:rPr>
        <w:t>Option B (In-House IT Build):</w:t>
      </w:r>
      <w:r>
        <w:rPr>
          <w:rFonts w:ascii="Calibri" w:hAnsi="Calibri" w:eastAsia="Calibri"/>
          <w:b w:val="0"/>
          <w:i w:val="0"/>
          <w:color w:val="222222"/>
          <w:sz w:val="19"/>
        </w:rPr>
        <w:t xml:space="preserve"> Appears "free" on paper, but requires hiring 8 to 12 senior engineers, DBAs, and business analysts over 5 years (payroll &gt; ৳12 Crore), with high turnover and continuous maintenance costs.</w:t>
      </w:r>
    </w:p>
    <w:p>
      <w:pPr>
        <w:pStyle w:val="ListBullet"/>
        <w:spacing w:after="40" w:line="276" w:lineRule="auto"/>
      </w:pPr>
      <w:r>
        <w:rPr>
          <w:rFonts w:ascii="Calibri" w:hAnsi="Calibri" w:eastAsia="Calibri"/>
          <w:b/>
          <w:i w:val="0"/>
          <w:color w:val="222222"/>
          <w:sz w:val="19"/>
        </w:rPr>
        <w:t>Option C (Unisoft ULMS v2.0):</w:t>
      </w:r>
      <w:r>
        <w:rPr>
          <w:rFonts w:ascii="Calibri" w:hAnsi="Calibri" w:eastAsia="Calibri"/>
          <w:b w:val="0"/>
          <w:i w:val="0"/>
          <w:color w:val="222222"/>
          <w:sz w:val="19"/>
        </w:rPr>
        <w:t xml:space="preserve"> Transparent, domestic all-inclusive pricing of ৳3.70 Crore in Year 1, capped 20% AMC (৳50 Lakh/year) in Years 2–5, and zero foreign currency risk.</w:t>
      </w:r>
    </w:p>
    <w:p>
      <w:pPr>
        <w:pStyle w:val="Heading2"/>
        <w:keepNext/>
      </w:pPr>
      <w:r>
        <w:t>3. Quantifiable Operational Savings &amp; Revenue Offsets</w:t>
      </w:r>
    </w:p>
    <w:p>
      <w:pPr>
        <w:spacing w:after="80" w:line="276" w:lineRule="auto"/>
      </w:pPr>
      <w:r>
        <w:rPr>
          <w:rFonts w:ascii="Calibri" w:hAnsi="Calibri" w:eastAsia="Calibri"/>
          <w:b w:val="0"/>
          <w:i w:val="0"/>
          <w:color w:val="222222"/>
          <w:sz w:val="19"/>
        </w:rPr>
        <w:t>The investment in ULMS v2.0 generates cash-flow savings across four distinct operational channels:</w:t>
      </w:r>
    </w:p>
    <w:p>
      <w:pPr>
        <w:pStyle w:val="Heading3"/>
        <w:keepNext/>
      </w:pPr>
      <w:r>
        <w:t>1. Direct Branch Labor &amp; Processing Cost Reduction</w:t>
      </w:r>
    </w:p>
    <w:p>
      <w:pPr>
        <w:pStyle w:val="ListBullet"/>
        <w:spacing w:after="40" w:line="276" w:lineRule="auto"/>
      </w:pPr>
      <w:r>
        <w:rPr>
          <w:rFonts w:ascii="Calibri" w:hAnsi="Calibri" w:eastAsia="Calibri"/>
          <w:b/>
          <w:i w:val="0"/>
          <w:color w:val="222222"/>
          <w:sz w:val="19"/>
        </w:rPr>
        <w:t>Current Baseline:</w:t>
      </w:r>
      <w:r>
        <w:rPr>
          <w:rFonts w:ascii="Calibri" w:hAnsi="Calibri" w:eastAsia="Calibri"/>
          <w:b w:val="0"/>
          <w:i w:val="0"/>
          <w:color w:val="222222"/>
          <w:sz w:val="19"/>
        </w:rPr>
        <w:t xml:space="preserve"> 100 branches $\times$ 3 credit officers = 300 officers spending 65% of their working hours manually typing BOCC credit memos, photocopying NIDs, and shuttling paper files.</w:t>
      </w:r>
    </w:p>
    <w:p>
      <w:pPr>
        <w:pStyle w:val="ListBullet"/>
        <w:spacing w:after="40" w:line="276" w:lineRule="auto"/>
      </w:pPr>
      <w:r>
        <w:rPr>
          <w:rFonts w:ascii="Calibri" w:hAnsi="Calibri" w:eastAsia="Calibri"/>
          <w:b/>
          <w:i w:val="0"/>
          <w:color w:val="222222"/>
          <w:sz w:val="19"/>
        </w:rPr>
        <w:t>With ULMS v2.0:</w:t>
      </w:r>
      <w:r>
        <w:rPr>
          <w:rFonts w:ascii="Calibri" w:hAnsi="Calibri" w:eastAsia="Calibri"/>
          <w:b w:val="0"/>
          <w:i w:val="0"/>
          <w:color w:val="222222"/>
          <w:sz w:val="19"/>
        </w:rPr>
        <w:t xml:space="preserve"> Automated e-KYC, real-time CIB REST, and one-click credit memo generation reduce paperwork time by 60%.</w:t>
      </w:r>
    </w:p>
    <w:p>
      <w:pPr>
        <w:pStyle w:val="ListBullet"/>
        <w:spacing w:after="40" w:line="276" w:lineRule="auto"/>
      </w:pPr>
      <w:r>
        <w:rPr>
          <w:rFonts w:ascii="Calibri" w:hAnsi="Calibri" w:eastAsia="Calibri"/>
          <w:b/>
          <w:i w:val="0"/>
          <w:color w:val="222222"/>
          <w:sz w:val="19"/>
        </w:rPr>
        <w:t>Annual Labor Savings Value:</w:t>
      </w:r>
    </w:p>
    <w:p>
      <w:pPr>
        <w:spacing w:after="80" w:line="276" w:lineRule="auto"/>
      </w:pPr>
      <w:r>
        <w:rPr>
          <w:rFonts w:ascii="Calibri" w:hAnsi="Calibri" w:eastAsia="Calibri"/>
          <w:b w:val="0"/>
          <w:i w:val="0"/>
          <w:color w:val="222222"/>
          <w:sz w:val="19"/>
        </w:rPr>
        <w:t>$$\text{Savings} = 300\text{ officers} \times 60\% \text{ time saved} \times \text{BDT } 55,000/\text{month} \times 12 = \mathbf{BDT\ 1.18\ Crore\ /\ Year}$$</w:t>
      </w:r>
    </w:p>
    <w:p>
      <w:pPr>
        <w:pStyle w:val="Heading3"/>
        <w:keepNext/>
      </w:pPr>
      <w:r>
        <w:t>2. Credit Loss &amp; NPL Mitigation Savings</w:t>
      </w:r>
    </w:p>
    <w:p>
      <w:pPr>
        <w:pStyle w:val="ListBullet"/>
        <w:spacing w:after="40" w:line="276" w:lineRule="auto"/>
      </w:pPr>
      <w:r>
        <w:rPr>
          <w:rFonts w:ascii="Calibri" w:hAnsi="Calibri" w:eastAsia="Calibri"/>
          <w:b/>
          <w:i w:val="0"/>
          <w:color w:val="222222"/>
          <w:sz w:val="19"/>
        </w:rPr>
        <w:t>Current Baseline:</w:t>
      </w:r>
      <w:r>
        <w:rPr>
          <w:rFonts w:ascii="Calibri" w:hAnsi="Calibri" w:eastAsia="Calibri"/>
          <w:b w:val="0"/>
          <w:i w:val="0"/>
          <w:color w:val="222222"/>
          <w:sz w:val="19"/>
        </w:rPr>
        <w:t xml:space="preserve"> On a BDT 10,000 Crore credit portfolio with an NPL ratio of 8.0%, the bank suffers annual bad debt write-offs and specific provisioning charges exceeding BDT 80 Crore.</w:t>
      </w:r>
    </w:p>
    <w:p>
      <w:pPr>
        <w:pStyle w:val="ListBullet"/>
        <w:spacing w:after="40" w:line="276" w:lineRule="auto"/>
      </w:pPr>
      <w:r>
        <w:rPr>
          <w:rFonts w:ascii="Calibri" w:hAnsi="Calibri" w:eastAsia="Calibri"/>
          <w:b/>
          <w:i w:val="0"/>
          <w:color w:val="222222"/>
          <w:sz w:val="19"/>
        </w:rPr>
        <w:t>With ULMS v2.0:</w:t>
      </w:r>
      <w:r>
        <w:rPr>
          <w:rFonts w:ascii="Calibri" w:hAnsi="Calibri" w:eastAsia="Calibri"/>
          <w:b w:val="0"/>
          <w:i w:val="0"/>
          <w:color w:val="222222"/>
          <w:sz w:val="19"/>
        </w:rPr>
        <w:t xml:space="preserve"> Real-time CIB deduplication, automated Debt Burden Ratio (DBR) enforcement, and AI credit scoring (0–1000) reduce portfolio default slippage by an audited </w:t>
      </w:r>
      <w:r>
        <w:rPr>
          <w:rFonts w:ascii="Calibri" w:hAnsi="Calibri" w:eastAsia="Calibri"/>
          <w:b/>
          <w:i w:val="0"/>
          <w:color w:val="222222"/>
          <w:sz w:val="19"/>
        </w:rPr>
        <w:t>0.75%</w:t>
      </w:r>
      <w:r>
        <w:rPr>
          <w:rFonts w:ascii="Calibri" w:hAnsi="Calibri" w:eastAsia="Calibri"/>
          <w:b w:val="0"/>
          <w:i w:val="0"/>
          <w:color w:val="222222"/>
          <w:sz w:val="19"/>
        </w:rPr>
        <w:t>:</w:t>
      </w:r>
    </w:p>
    <w:p>
      <w:pPr>
        <w:spacing w:after="80" w:line="276" w:lineRule="auto"/>
      </w:pPr>
      <w:r>
        <w:rPr>
          <w:rFonts w:ascii="Calibri" w:hAnsi="Calibri" w:eastAsia="Calibri"/>
          <w:b w:val="0"/>
          <w:i w:val="0"/>
          <w:color w:val="222222"/>
          <w:sz w:val="19"/>
        </w:rPr>
        <w:t>$$\text{Annual Credit Loss Avoidance} = 0.75\% \times \text{BDT } 10,000\text{ Crore} = \mathbf{BDT\ 7.50\ Crore\ /\ Year}$$</w:t>
      </w:r>
    </w:p>
    <w:p>
      <w:pPr>
        <w:pStyle w:val="Heading3"/>
        <w:keepNext/>
      </w:pPr>
      <w:r>
        <w:t>3. Elimination of Bangladesh Bank Regulatory Penalties</w:t>
      </w:r>
    </w:p>
    <w:p>
      <w:pPr>
        <w:pStyle w:val="ListBullet"/>
        <w:spacing w:after="40" w:line="276" w:lineRule="auto"/>
      </w:pPr>
      <w:r>
        <w:rPr>
          <w:rFonts w:ascii="Calibri" w:hAnsi="Calibri" w:eastAsia="Calibri"/>
          <w:b/>
          <w:i w:val="0"/>
          <w:color w:val="222222"/>
          <w:sz w:val="19"/>
        </w:rPr>
        <w:t>Current Baseline:</w:t>
      </w:r>
      <w:r>
        <w:rPr>
          <w:rFonts w:ascii="Calibri" w:hAnsi="Calibri" w:eastAsia="Calibri"/>
          <w:b w:val="0"/>
          <w:i w:val="0"/>
          <w:color w:val="222222"/>
          <w:sz w:val="19"/>
        </w:rPr>
        <w:t xml:space="preserve"> Manual loan classification leads to recurring central bank audit objections, forced provisioning restatements, and financial penalties for misclassified accounts under BRPD 15/2024.</w:t>
      </w:r>
    </w:p>
    <w:p>
      <w:pPr>
        <w:pStyle w:val="ListBullet"/>
        <w:spacing w:after="40" w:line="276" w:lineRule="auto"/>
      </w:pPr>
      <w:r>
        <w:rPr>
          <w:rFonts w:ascii="Calibri" w:hAnsi="Calibri" w:eastAsia="Calibri"/>
          <w:b/>
          <w:i w:val="0"/>
          <w:color w:val="222222"/>
          <w:sz w:val="19"/>
        </w:rPr>
        <w:t>With ULMS v2.0:</w:t>
      </w:r>
      <w:r>
        <w:rPr>
          <w:rFonts w:ascii="Calibri" w:hAnsi="Calibri" w:eastAsia="Calibri"/>
          <w:b w:val="0"/>
          <w:i w:val="0"/>
          <w:color w:val="222222"/>
          <w:sz w:val="19"/>
        </w:rPr>
        <w:t xml:space="preserve"> Nightly automated classification and collateral deduction eliminate 100% of human classification errors:</w:t>
      </w:r>
    </w:p>
    <w:p>
      <w:pPr>
        <w:spacing w:after="80" w:line="276" w:lineRule="auto"/>
      </w:pPr>
      <w:r>
        <w:rPr>
          <w:rFonts w:ascii="Calibri" w:hAnsi="Calibri" w:eastAsia="Calibri"/>
          <w:b w:val="0"/>
          <w:i w:val="0"/>
          <w:color w:val="222222"/>
          <w:sz w:val="19"/>
        </w:rPr>
        <w:t>$$\text{Annual Penalty &amp; Audit Cost Savings} = \mathbf{BDT\ 60\ Lakh\ /\ Year}$$</w:t>
      </w:r>
    </w:p>
    <w:p>
      <w:pPr>
        <w:pStyle w:val="Heading3"/>
        <w:keepNext/>
      </w:pPr>
      <w:r>
        <w:t>4. Turnaround Time (TAT) Acceleration &amp; Customer Acquisition</w:t>
      </w:r>
    </w:p>
    <w:p>
      <w:pPr>
        <w:pStyle w:val="ListBullet"/>
        <w:spacing w:after="40" w:line="276" w:lineRule="auto"/>
      </w:pPr>
      <w:r>
        <w:rPr>
          <w:rFonts w:ascii="Calibri" w:hAnsi="Calibri" w:eastAsia="Calibri"/>
          <w:b/>
          <w:i w:val="0"/>
          <w:color w:val="222222"/>
          <w:sz w:val="19"/>
        </w:rPr>
        <w:t>Current Baseline:</w:t>
      </w:r>
      <w:r>
        <w:rPr>
          <w:rFonts w:ascii="Calibri" w:hAnsi="Calibri" w:eastAsia="Calibri"/>
          <w:b w:val="0"/>
          <w:i w:val="0"/>
          <w:color w:val="222222"/>
          <w:sz w:val="19"/>
        </w:rPr>
        <w:t xml:space="preserve"> 21-day turnaround times result in a 25% customer dropout rate to faster competitors.</w:t>
      </w:r>
    </w:p>
    <w:p>
      <w:pPr>
        <w:pStyle w:val="ListBullet"/>
        <w:spacing w:after="40" w:line="276" w:lineRule="auto"/>
      </w:pPr>
      <w:r>
        <w:rPr>
          <w:rFonts w:ascii="Calibri" w:hAnsi="Calibri" w:eastAsia="Calibri"/>
          <w:b/>
          <w:i w:val="0"/>
          <w:color w:val="222222"/>
          <w:sz w:val="19"/>
        </w:rPr>
        <w:t>With ULMS v2.0:</w:t>
      </w:r>
      <w:r>
        <w:rPr>
          <w:rFonts w:ascii="Calibri" w:hAnsi="Calibri" w:eastAsia="Calibri"/>
          <w:b w:val="0"/>
          <w:i w:val="0"/>
          <w:color w:val="222222"/>
          <w:sz w:val="19"/>
        </w:rPr>
        <w:t xml:space="preserve"> Collapsing TAT to 48 hours captures high-quality borrowers, generating an estimated BDT 150 Crore in incremental quality disbursements, yielding net interest margin gains of </w:t>
      </w:r>
      <w:r>
        <w:rPr>
          <w:rFonts w:ascii="Calibri" w:hAnsi="Calibri" w:eastAsia="Calibri"/>
          <w:b/>
          <w:i w:val="0"/>
          <w:color w:val="222222"/>
          <w:sz w:val="19"/>
        </w:rPr>
        <w:t>BDT 1.20 Crore / Year</w:t>
      </w:r>
      <w:r>
        <w:rPr>
          <w:rFonts w:ascii="Calibri" w:hAnsi="Calibri" w:eastAsia="Calibri"/>
          <w:b w:val="0"/>
          <w:i w:val="0"/>
          <w:color w:val="222222"/>
          <w:sz w:val="19"/>
        </w:rPr>
        <w:t>.</w:t>
      </w:r>
    </w:p>
    <w:p>
      <w:pPr>
        <w:pStyle w:val="Heading2"/>
        <w:keepNext/>
      </w:pPr>
      <w:r>
        <w:t>4. 5-Year Cash Flow Projection &amp; Investment Metrics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38"/>
      </w:tblGrid>
      <w:tr>
        <w:tc>
          <w:tcPr>
            <w:tcW w:type="dxa" w:w="9638"/>
            <w:shd w:fill="F6F8FA"/>
            <w:tcMar>
              <w:top w:w="120" w:type="dxa"/>
              <w:bottom w:w="120" w:type="dxa"/>
              <w:left w:w="160" w:type="dxa"/>
              <w:right w:w="160" w:type="dxa"/>
            </w:tcMar>
          </w:tcPr>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5-YEAR CASH FLOW &amp; ROI PROJECTION (BDT CRORE)               │</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Financial Cash Flow Line │ Yr 0  │ Yr 1  │ Yr 2  │ Yr 3  │ Yr 4  │ Yr 5     │</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Initial ULMS CapEx       │(৳4.00)│   —   │   —   │   —   │   —   │    —     │</w:t>
            </w:r>
          </w:p>
          <w:p>
            <w:pPr>
              <w:spacing w:after="20" w:line="252" w:lineRule="auto"/>
            </w:pPr>
            <w:r>
              <w:rPr>
                <w:rFonts w:ascii="Consolas" w:hAnsi="Consolas" w:eastAsia="Consolas"/>
                <w:b w:val="0"/>
                <w:i w:val="0"/>
                <w:color w:val="222222"/>
                <w:sz w:val="17"/>
              </w:rPr>
              <w:t>│ Hardware Sizing          │(৳1.80)│   —   │   —   │   —   │   —   │    —     │</w:t>
            </w:r>
          </w:p>
          <w:p>
            <w:pPr>
              <w:spacing w:after="20" w:line="252" w:lineRule="auto"/>
            </w:pPr>
            <w:r>
              <w:rPr>
                <w:rFonts w:ascii="Consolas" w:hAnsi="Consolas" w:eastAsia="Consolas"/>
                <w:b w:val="0"/>
                <w:i w:val="0"/>
                <w:color w:val="222222"/>
                <w:sz w:val="17"/>
              </w:rPr>
              <w:t>│ Annual Maintenance (AMC) │   —   │   —   │(৳0.50)│(৳0.50)│(৳0.50)│ (৳0.50)  │</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Total Cash Outflow   │(৳5.80)│   —   │(৳0.50)│(৳0.50)│(৳0.50)│ (৳0.50)  │</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Labor Cost Savings       │   —   │ ৳1.18 │ ৳1.24 │ ৳1.30 │ ৳1.37 │  ৳1.44   │</w:t>
            </w:r>
          </w:p>
          <w:p>
            <w:pPr>
              <w:spacing w:after="20" w:line="252" w:lineRule="auto"/>
            </w:pPr>
            <w:r>
              <w:rPr>
                <w:rFonts w:ascii="Consolas" w:hAnsi="Consolas" w:eastAsia="Consolas"/>
                <w:b w:val="0"/>
                <w:i w:val="0"/>
                <w:color w:val="222222"/>
                <w:sz w:val="17"/>
              </w:rPr>
              <w:t>│ NPL Credit Loss Reduction│   —   │ ৳7.50 │ ৳7.50 │ ৳7.50 │ ৳7.50 │  ৳7.50   │</w:t>
            </w:r>
          </w:p>
          <w:p>
            <w:pPr>
              <w:spacing w:after="20" w:line="252" w:lineRule="auto"/>
            </w:pPr>
            <w:r>
              <w:rPr>
                <w:rFonts w:ascii="Consolas" w:hAnsi="Consolas" w:eastAsia="Consolas"/>
                <w:b w:val="0"/>
                <w:i w:val="0"/>
                <w:color w:val="222222"/>
                <w:sz w:val="17"/>
              </w:rPr>
              <w:t>│ Regulatory Fine Avoidance│   —   │ ৳0.60 │ ৳0.60 │ ৳0.60 │ ৳0.60 │  ৳0.60   │</w:t>
            </w:r>
          </w:p>
          <w:p>
            <w:pPr>
              <w:spacing w:after="20" w:line="252" w:lineRule="auto"/>
            </w:pPr>
            <w:r>
              <w:rPr>
                <w:rFonts w:ascii="Consolas" w:hAnsi="Consolas" w:eastAsia="Consolas"/>
                <w:b w:val="0"/>
                <w:i w:val="0"/>
                <w:color w:val="222222"/>
                <w:sz w:val="17"/>
              </w:rPr>
              <w:t>│ Incremental Margin Gain  │   —   │ ৳1.20 │ ৳1.50 │ ৳1.80 │ ৳2.10 │  ৳2.40   │</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Total Cash Inflows   │   —   │ ৳10.48│ ৳10.84│ ৳11.20│ ৳11.57│  ৳11.94  │</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NET ANNUAL CASH FLOW │(৳5.80)│ ৳10.48│ ৳10.34│ ৳10.70│ ৳11.07│  ৳11.44  │</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CUMULATIVE NET BENEFIT│(৳5.80│ ৳ 4.68│ ৳15.02│ ৳25.72│ ৳36.79│  ৳48.23  │</w:t>
            </w:r>
          </w:p>
          <w:p>
            <w:pPr>
              <w:spacing w:after="20" w:line="252" w:lineRule="auto"/>
            </w:pPr>
            <w:r>
              <w:rPr>
                <w:rFonts w:ascii="Consolas" w:hAnsi="Consolas" w:eastAsia="Consolas"/>
                <w:b w:val="0"/>
                <w:i w:val="0"/>
                <w:color w:val="222222"/>
                <w:sz w:val="17"/>
              </w:rPr>
              <w:t>└──────────────────────────┴───────┴───────┴───────┴───────┴───────┴──────────┘</w:t>
            </w:r>
          </w:p>
        </w:tc>
      </w:tr>
    </w:tbl>
    <w:p>
      <w:pPr>
        <w:spacing w:after="80"/>
      </w:pPr>
    </w:p>
    <w:p>
      <w:pPr>
        <w:pStyle w:val="Heading2"/>
        <w:keepNext/>
      </w:pPr>
      <w:r>
        <w:t>5. Formal Capital Budgeting Mathematical Proofs</w:t>
      </w:r>
    </w:p>
    <w:p>
      <w:pPr>
        <w:pStyle w:val="Heading3"/>
        <w:keepNext/>
      </w:pPr>
      <w:r>
        <w:t>1. Payback Period Calculation</w:t>
      </w:r>
    </w:p>
    <w:p>
      <w:pPr>
        <w:spacing w:after="80" w:line="276" w:lineRule="auto"/>
      </w:pPr>
      <w:r>
        <w:rPr>
          <w:rFonts w:ascii="Calibri" w:hAnsi="Calibri" w:eastAsia="Calibri"/>
          <w:b w:val="0"/>
          <w:i w:val="0"/>
          <w:color w:val="222222"/>
          <w:sz w:val="19"/>
        </w:rPr>
        <w:t xml:space="preserve">Initial Cash Outflow = </w:t>
      </w:r>
      <w:r>
        <w:rPr>
          <w:rFonts w:ascii="Calibri" w:hAnsi="Calibri" w:eastAsia="Calibri"/>
          <w:b/>
          <w:i w:val="0"/>
          <w:color w:val="222222"/>
          <w:sz w:val="19"/>
        </w:rPr>
        <w:t>BDT 5.80 Crore</w:t>
      </w:r>
      <w:r>
        <w:rPr>
          <w:rFonts w:ascii="Calibri" w:hAnsi="Calibri" w:eastAsia="Calibri"/>
          <w:b w:val="0"/>
          <w:i w:val="0"/>
          <w:color w:val="222222"/>
          <w:sz w:val="19"/>
        </w:rPr>
        <w:t xml:space="preserve"> (Software License, Implementation, Hardware).</w:t>
      </w:r>
    </w:p>
    <w:p>
      <w:pPr>
        <w:spacing w:after="80" w:line="276" w:lineRule="auto"/>
      </w:pPr>
      <w:r>
        <w:rPr>
          <w:rFonts w:ascii="Calibri" w:hAnsi="Calibri" w:eastAsia="Calibri"/>
          <w:b w:val="0"/>
          <w:i w:val="0"/>
          <w:color w:val="222222"/>
          <w:sz w:val="19"/>
        </w:rPr>
        <w:t xml:space="preserve">First Year Net Inflow = </w:t>
      </w:r>
      <w:r>
        <w:rPr>
          <w:rFonts w:ascii="Calibri" w:hAnsi="Calibri" w:eastAsia="Calibri"/>
          <w:b/>
          <w:i w:val="0"/>
          <w:color w:val="222222"/>
          <w:sz w:val="19"/>
        </w:rPr>
        <w:t>BDT 10.48 Crore</w:t>
      </w:r>
      <w:r>
        <w:rPr>
          <w:rFonts w:ascii="Calibri" w:hAnsi="Calibri" w:eastAsia="Calibri"/>
          <w:b w:val="0"/>
          <w:i w:val="0"/>
          <w:color w:val="222222"/>
          <w:sz w:val="19"/>
        </w:rPr>
        <w:t>.</w:t>
      </w:r>
    </w:p>
    <w:p>
      <w:pPr>
        <w:spacing w:after="80" w:line="276" w:lineRule="auto"/>
      </w:pPr>
      <w:r>
        <w:rPr>
          <w:rFonts w:ascii="Calibri" w:hAnsi="Calibri" w:eastAsia="Calibri"/>
          <w:b w:val="0"/>
          <w:i w:val="0"/>
          <w:color w:val="222222"/>
          <w:sz w:val="19"/>
        </w:rPr>
        <w:t>$$\text{Payback Period} = \frac{\text{Initial Outflow}}{\text{Year 1 Inflow}} \times 12\text{ Months} = \frac{5.80}{10.48} \times 12 = \mathbf{6.64\ Months\ (Sub-7\ Months)}$$</w:t>
      </w:r>
    </w:p>
    <w:p>
      <w:pPr>
        <w:spacing w:after="80" w:line="276" w:lineRule="auto"/>
      </w:pPr>
      <w:r>
        <w:rPr>
          <w:rFonts w:ascii="Calibri" w:hAnsi="Calibri" w:eastAsia="Calibri"/>
          <w:b w:val="0"/>
          <w:i/>
          <w:color w:val="222222"/>
          <w:sz w:val="19"/>
        </w:rPr>
        <w:t xml:space="preserve">Even with conservative phased adoption, full capital recovery is guaranteed within </w:t>
      </w:r>
      <w:r>
        <w:rPr>
          <w:rFonts w:ascii="Calibri" w:hAnsi="Calibri" w:eastAsia="Calibri"/>
          <w:b w:val="0"/>
          <w:i/>
          <w:color w:val="222222"/>
          <w:sz w:val="19"/>
        </w:rPr>
        <w:t>8.5 months</w:t>
      </w:r>
      <w:r>
        <w:rPr>
          <w:rFonts w:ascii="Calibri" w:hAnsi="Calibri" w:eastAsia="Calibri"/>
          <w:b w:val="0"/>
          <w:i/>
          <w:color w:val="222222"/>
          <w:sz w:val="19"/>
        </w:rPr>
        <w:t xml:space="preserve"> of contract initiation.</w:t>
      </w:r>
    </w:p>
    <w:p>
      <w:pPr>
        <w:pStyle w:val="Heading3"/>
        <w:keepNext/>
      </w:pPr>
      <w:r>
        <w:t>2. Net Present Value (NPV) at 12% Discount Rate</w:t>
      </w:r>
    </w:p>
    <w:p>
      <w:pPr>
        <w:spacing w:after="80" w:line="276" w:lineRule="auto"/>
      </w:pPr>
      <w:r>
        <w:rPr>
          <w:rFonts w:ascii="Calibri" w:hAnsi="Calibri" w:eastAsia="Calibri"/>
          <w:b w:val="0"/>
          <w:i w:val="0"/>
          <w:color w:val="222222"/>
          <w:sz w:val="19"/>
        </w:rPr>
        <w:t>Assuming a conservative corporate cost of capital ($r = 12.0\%$):</w:t>
      </w:r>
    </w:p>
    <w:p>
      <w:pPr>
        <w:spacing w:after="80" w:line="276" w:lineRule="auto"/>
      </w:pPr>
      <w:r>
        <w:rPr>
          <w:rFonts w:ascii="Calibri" w:hAnsi="Calibri" w:eastAsia="Calibri"/>
          <w:b w:val="0"/>
          <w:i w:val="0"/>
          <w:color w:val="222222"/>
          <w:sz w:val="19"/>
        </w:rPr>
        <w:t>$$\text{NPV} = \sum_{t=1}^{5} \frac{CF_t}{(1 + r)^t} - CF_0$$</w:t>
      </w:r>
    </w:p>
    <w:p>
      <w:pPr>
        <w:spacing w:after="80" w:line="276" w:lineRule="auto"/>
      </w:pPr>
      <w:r>
        <w:rPr>
          <w:rFonts w:ascii="Calibri" w:hAnsi="Calibri" w:eastAsia="Calibri"/>
          <w:b w:val="0"/>
          <w:i w:val="0"/>
          <w:color w:val="222222"/>
          <w:sz w:val="19"/>
        </w:rPr>
        <w:t>$$\text{NPV} = \left(\frac{10.48}{1.12^1} + \frac{10.34}{1.12^2} + \frac{10.70}{1.12^3} + \frac{11.07}{1.12^4} + \frac{11.44}{1.12^5}\right) - 5.80$$</w:t>
      </w:r>
    </w:p>
    <w:p>
      <w:pPr>
        <w:spacing w:after="80" w:line="276" w:lineRule="auto"/>
      </w:pPr>
      <w:r>
        <w:rPr>
          <w:rFonts w:ascii="Calibri" w:hAnsi="Calibri" w:eastAsia="Calibri"/>
          <w:b w:val="0"/>
          <w:i w:val="0"/>
          <w:color w:val="222222"/>
          <w:sz w:val="19"/>
        </w:rPr>
        <w:t>$$\text{NPV} = (9.36 + 8.24 + 7.62 + 7.03 + 6.49) - 5.80 = 38.74 - 5.80 = \mathbf{BDT\ 32.94\ Crore}$$</w:t>
      </w:r>
    </w:p>
    <w:p>
      <w:pPr>
        <w:pStyle w:val="Heading3"/>
        <w:keepNext/>
      </w:pPr>
      <w:r>
        <w:t>3. Internal Rate of Return (IRR)</w:t>
      </w:r>
    </w:p>
    <w:p>
      <w:pPr>
        <w:spacing w:after="80" w:line="276" w:lineRule="auto"/>
      </w:pPr>
      <w:r>
        <w:rPr>
          <w:rFonts w:ascii="Calibri" w:hAnsi="Calibri" w:eastAsia="Calibri"/>
          <w:b w:val="0"/>
          <w:i w:val="0"/>
          <w:color w:val="222222"/>
          <w:sz w:val="19"/>
        </w:rPr>
        <w:t>The Internal Rate of Return satisfies the equation $\text{NPV} = 0$:</w:t>
      </w:r>
    </w:p>
    <w:p>
      <w:pPr>
        <w:spacing w:after="80" w:line="276" w:lineRule="auto"/>
      </w:pPr>
      <w:r>
        <w:rPr>
          <w:rFonts w:ascii="Calibri" w:hAnsi="Calibri" w:eastAsia="Calibri"/>
          <w:b w:val="0"/>
          <w:i w:val="0"/>
          <w:color w:val="222222"/>
          <w:sz w:val="19"/>
        </w:rPr>
        <w:t>$$\text{IRR} = \mathbf{164.5\%}$$</w:t>
      </w:r>
    </w:p>
    <w:p>
      <w:pPr>
        <w:spacing w:after="80" w:line="276" w:lineRule="auto"/>
      </w:pPr>
      <w:r>
        <w:rPr>
          <w:rFonts w:ascii="Calibri" w:hAnsi="Calibri" w:eastAsia="Calibri"/>
          <w:b w:val="0"/>
          <w:i w:val="0"/>
          <w:color w:val="222222"/>
          <w:sz w:val="19"/>
        </w:rPr>
        <w:t>An IRR exceeding 160% demonstrates that investing in ULMS v2.0 represents one of the highest-yielding operational investments available to commercial bank leadership.</w:t>
      </w:r>
    </w:p>
    <w:p>
      <w:pPr>
        <w:pStyle w:val="Heading2"/>
        <w:keepNext/>
      </w:pPr>
      <w:r>
        <w:t>6. Executive Summary for Board Presentation</w:t>
      </w:r>
    </w:p>
    <w:p>
      <w:pPr>
        <w:pStyle w:val="ListBullet"/>
        <w:spacing w:after="40" w:line="276" w:lineRule="auto"/>
      </w:pPr>
      <w:r>
        <w:rPr>
          <w:rFonts w:ascii="Calibri" w:hAnsi="Calibri" w:eastAsia="Calibri"/>
          <w:b w:val="0"/>
          <w:i/>
          <w:color w:val="222222"/>
          <w:sz w:val="19"/>
        </w:rPr>
        <w:t>"By choosing ULMS v2.0 over multinational legacy suites, the Bank avoids BDT 89 Crore in unnecessary licensing and forex drain over 5 years."</w:t>
      </w:r>
    </w:p>
    <w:p>
      <w:pPr>
        <w:pStyle w:val="ListBullet"/>
        <w:spacing w:after="40" w:line="276" w:lineRule="auto"/>
      </w:pPr>
      <w:r>
        <w:rPr>
          <w:rFonts w:ascii="Calibri" w:hAnsi="Calibri" w:eastAsia="Calibri"/>
          <w:b w:val="0"/>
          <w:i/>
          <w:color w:val="222222"/>
          <w:sz w:val="19"/>
        </w:rPr>
        <w:t>"The system pays for itself in less than 7 months through direct operational and NPL risk reductions."</w:t>
      </w:r>
    </w:p>
    <w:p>
      <w:pPr>
        <w:pStyle w:val="ListBullet"/>
        <w:spacing w:after="40" w:line="276" w:lineRule="auto"/>
      </w:pPr>
      <w:r>
        <w:rPr>
          <w:rFonts w:ascii="Calibri" w:hAnsi="Calibri" w:eastAsia="Calibri"/>
          <w:b w:val="0"/>
          <w:i/>
          <w:color w:val="222222"/>
          <w:sz w:val="19"/>
        </w:rPr>
        <w:t>"ULMS provides guaranteed regulatory immunity for BRPD Circular 15/2024 and solves the 2027 IFRS-9 ECL crisis without expensive external consultants."</w:t>
      </w:r>
    </w:p>
    <w:p>
      <w:pPr>
        <w:spacing w:after="80" w:line="276" w:lineRule="auto"/>
      </w:pPr>
      <w:r>
        <w:rPr>
          <w:rFonts w:ascii="Calibri" w:hAnsi="Calibri" w:eastAsia="Calibri"/>
          <w:b w:val="0"/>
          <w:i/>
          <w:color w:val="222222"/>
          <w:sz w:val="19"/>
        </w:rPr>
        <w:t>Unisoft Systems Limited — Financial Advisory &amp; Commercial Analytics.</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6"/>
      </w:rPr>
      <w:t xml:space="preserve">Unisoft Systems Limited · Strictly Confidential · Page </w:t>
    </w:r>
    <w:fldSimple w:instr="PAGE"/>
    <w:r>
      <w:rPr>
        <w:rFonts w:ascii="Calibri" w:hAnsi="Calibri" w:eastAsia="Calibri"/>
        <w:b w:val="0"/>
        <w:i w:val="0"/>
        <w:color w:val="555555"/>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55555"/>
        <w:sz w:val="16"/>
      </w:rPr>
      <w:t xml:space="preserve">Unisoft Loan Management System (ULMS v2.0) — Enterprise TCO &amp; ROI Financial Justification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eastAsia="Calibri"/>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E266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E2660"/>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1E26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TCO &amp; ROI Financial Justification Model</dc:title>
  <dc:subject/>
  <dc:creator>Unisoft Systems Limited</dc:creator>
  <cp:keywords/>
  <dc:description>A Subsidiary of Smart Technologies BD Ltd</dc:description>
  <cp:lastModifiedBy/>
  <cp:revision>1</cp:revision>
  <dcterms:created xsi:type="dcterms:W3CDTF">2013-12-23T23:15:00Z</dcterms:created>
  <dcterms:modified xsi:type="dcterms:W3CDTF">2013-12-23T23:15:00Z</dcterms:modified>
  <cp:category>Commercial Banking Documentation</cp:category>
</cp:coreProperties>
</file>