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Regulatory Whitepaper: Automated Compliance with BRPD Circular 15/2024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DOC-35-REG-01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DOC-35-REG-01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Authoritative Technical &amp;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[cro, head_of_credit, compliance_officer, external_auditor]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The 7-Stage Loan Classification &amp; Statutory Provisioning Engine in ULMS v2.0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Automated loan classification screen showing STD-0 to B/L stages" title="Figure 1: Production UI — Live 7-Stage BRPD 15/2024 Classification &amp; Provisioning Eng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Live 7-Stage BRPD 15/2024 Classification &amp; Provisioning Engine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DOC-35-REG-01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Reference: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BRPD Circular No. 15 dated November 27, 2024 (and related directives)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Head of Regulatory Compliance &amp; Senior Credit Risk Architect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Regulatory Whitepaper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Regulatory Context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74447"/>
            <wp:docPr id="2" name="Picture 2" descr="Regulatory taxonomy table for general and specific provisions" title="Figure 2: Statutory Matrix — Bangladesh Bank Granular Provisioning Percentages &amp; DPD Ba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brp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74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Statutory Matrix — Bangladesh Bank Granular Provisioning Percentages &amp; DPD Bands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On November 27, 2024, the Banking Regulation and Policy Department (BRPD) of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issued </w:t>
      </w:r>
      <w:r>
        <w:rPr>
          <w:rFonts w:ascii="Calibri" w:hAnsi="Calibri" w:eastAsia="Calibri"/>
          <w:b/>
          <w:i w:val="0"/>
          <w:color w:val="222222"/>
          <w:sz w:val="19"/>
        </w:rPr>
        <w:t>Circular No.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>, marking the most significant overhaul of credit asset classification and provisioning rules in Bangladesh in over a decade.</w:t>
      </w:r>
    </w:p>
    <w:p>
      <w:pPr>
        <w:pStyle w:val="Heading3"/>
        <w:keepNext/>
      </w:pPr>
      <w:r>
        <w:t>Statutory Implementation Timeline: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Circular Issuance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November 27, 2024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Effective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April 1, 2025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(Mandatory transition from historical 4-stage to 7-stage classification)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Comprehensive CL Reporting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September 30, 2025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(Quarterly CL-1 to CL-5 returns submitted to Bangladesh Bank under the full 7-stage taxonomy)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IFRS-9 ECL Convergence: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Replacing the historical 4-stage framework, BRPD 15/2024 established a strict </w:t>
      </w:r>
      <w:r>
        <w:rPr>
          <w:rFonts w:ascii="Calibri" w:hAnsi="Calibri" w:eastAsia="Calibri"/>
          <w:b/>
          <w:i w:val="0"/>
          <w:color w:val="222222"/>
          <w:sz w:val="19"/>
        </w:rPr>
        <w:t>7-stage granular classification regime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aimed at aligning Bangladesh’s banking sector with international Basel III norms and paving the way for mandatory </w:t>
      </w:r>
      <w:r>
        <w:rPr>
          <w:rFonts w:ascii="Calibri" w:hAnsi="Calibri" w:eastAsia="Calibri"/>
          <w:b/>
          <w:i w:val="0"/>
          <w:color w:val="222222"/>
          <w:sz w:val="19"/>
        </w:rPr>
        <w:t>IFRS-9 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enforcement by December 31, 2027.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flowchart LR]</w:t>
              <w:br/>
              <w:t>flowchart LR</w:t>
              <w:br/>
              <w:t xml:space="preserve">    subgraph Performing ["Performing Assets (General Provision)"]</w:t>
              <w:br/>
              <w:t xml:space="preserve">        S0["1. STD-0: Standard Current&lt;br/&gt;0 DPD · 1.0% GP"]</w:t>
              <w:br/>
              <w:t xml:space="preserve">        S1["2. STD-1: Standard Watch&lt;br/&gt;1–30 DPD · 1.0% GP"]</w:t>
              <w:br/>
              <w:t xml:space="preserve">        S2["3. STD-2: Standard Caution&lt;br/&gt;31–60 DPD · 1.0% GP"]</w:t>
              <w:br/>
              <w:t xml:space="preserve">        SMA["4. SMA: Special Mention&lt;br/&gt;61–90 DPD · 5.0% GP"]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commercial banks, manually tracking Days Past Due (DPD) across thousands of accounts using spreadsheets creates acute operational risks: misclassification fines, delayed reporting, and balance-sheet restatement orders.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solves this challenge through an embedded,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BRPD 15/2024 Compliance Engine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that deterministically calculates DPD, nets central bank eligible collateral, determines exact general and specific provisions, and exports standardized CL returns nightly.</w:t>
      </w:r>
    </w:p>
    <w:p>
      <w:pPr>
        <w:pStyle w:val="Heading2"/>
        <w:keepNext/>
      </w:pPr>
      <w:r>
        <w:t>2. Exhaustive 7-Stage Classification Taxonomy &amp; Asset Categories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Delinquency bucket ledger screen" title="Figure 3: Delinquency Ledger — DPD Aging Analysis &amp; Collateral Netting Trace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coll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Delinquency Ledger — DPD Aging Analysis &amp; Collateral Netting Traceability</w:t>
      </w:r>
    </w:p>
    <w:p>
      <w:pPr>
        <w:pStyle w:val="Heading3"/>
        <w:keepNext/>
      </w:pPr>
      <w:r>
        <w:t>2.1 The Four Regulated Credit Asset Categories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BRPD Circular 15/2024 establishes distinct classification criteria across four primary loan categories: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Continuous Loans (Cash Credit, Overdrafts):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Revolving credit facilities with sanctioned validity limits. DPD is calculated from limit expiry date or when drawings exceed limit continuously for 30+ days.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Demand Loans (PAD, FBP, LIM, Payment Against Documents):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Short-term trade finance loans payable on demand. DPD is calculated from maturity or creation date if unretired.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Fixed Term Loans (Retail EMI, SME Term, Industrial Term, Lease Finance):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Installment-based term credit. DPD is tracked against the oldest overdue installment.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Short-Term Agricultural Credit &amp; Micro-Credit: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Agricultural crop loans and micro-credit. Classified as SMA if overdue 30–60 days, SS if 61–180 days, DF if 181–365 days, and B/L if past due exceeding 12 months after maturity.</w:t>
      </w:r>
    </w:p>
    <w:p>
      <w:pPr>
        <w:pStyle w:val="Heading3"/>
        <w:keepNext/>
      </w:pPr>
      <w:r>
        <w:t>2.2 7-Stage Classification Matrix &amp; Statutory Provision Rates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Under BRPD Circular 15/2024, credit facilities are classified based on objective Days Past Due (DPD) thresholds, qualitative judgment, and rescheduling history: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  <w:cantSplit/>
        </w:trPr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Stage Code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Classification Name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Days Past Due (DPD) Range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Provision Category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Base Statutory Provision Rate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Commercial &amp; Retail Loans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SME / Agri Credit Loans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STD-0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(Current)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Exactly 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STD-1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(Watch)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 to 30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STD-2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(Caution)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31 to 60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SMA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Special Mention Account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61 to 90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Sub-Standard (NPL)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91 to 180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DF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Doubtful (NPL)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181 to 365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B/L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Bad / Loss (NPL)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Greater than 365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Key Regulatory Enforcements: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Continuous Revolving Credit &amp; Overdrafts: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DPD is measured from the date of limit expiration or when drawings exceed the sanctioned limit continuously for 30+ days.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Fixed Term / Installment 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DPD is measured from the due date of any unpaid monthly or quarterly installment.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Cross-Default Contagion: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If an uncollateralized borrower is classified as Sub-Standard or worse on one facility, ULMS automatically tags all other facilities of the same borrower across the bank for downgrade review.</w:t>
      </w:r>
    </w:p>
    <w:p>
      <w:pPr>
        <w:pStyle w:val="Heading2"/>
        <w:keepNext/>
      </w:pPr>
      <w:r>
        <w:t>3. Mathematical Collateral Netting &amp; Provisioning Algorithm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08282"/>
            <wp:docPr id="4" name="Picture 4" descr="Statutory delegation ladder for loan rescheduling approvals" title="Figure 4: Sanction Governance — Rescheduling &amp; Restructuring Delegation Authority Matri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lad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0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Sanction Governance — Rescheduling &amp; Restructuring Delegation Authority Matrix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The calculation of specific provisions under central bank guidelines permits the deduction of </w:t>
      </w:r>
      <w:r>
        <w:rPr>
          <w:rFonts w:ascii="Calibri" w:hAnsi="Calibri" w:eastAsia="Calibri"/>
          <w:b/>
          <w:i w:val="0"/>
          <w:color w:val="222222"/>
          <w:sz w:val="19"/>
        </w:rPr>
        <w:t>Eligible Security / Collateral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before applying the statutory provisioning percentage.</w:t>
      </w:r>
    </w:p>
    <w:p>
      <w:pPr>
        <w:pStyle w:val="Heading3"/>
        <w:keepNext/>
      </w:pPr>
      <w:r>
        <w:t>3.1 Central Bank Eligible Collateral Categories &amp; Haircuts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Bangladesh Bank regulations, only strictly defined collateral can be deducted against outstanding exposure: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Cash Collateral &amp; FDR Liens: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100% of face value (zero haircut).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Government Treasury Bonds / Sanchayapatra: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100% of surrender/face value.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Immovable Landed Property / Registered Mortgages: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Maximum of 80% of forced sale value determined by an accredited surveyor within the last 3 years.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Hypothecated Stock &amp; Raw Materials: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Maximum of 50% of audited valuation, subject to strict inspection recency (&lt;90 days).</w:t>
      </w:r>
    </w:p>
    <w:p>
      <w:pPr>
        <w:pStyle w:val="Heading3"/>
        <w:keepNext/>
      </w:pPr>
      <w:r>
        <w:t>3.2 Formal Mathematical Provisioning Formula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any credit facility $i$ with Outstanding Exposure $E_i$ and Central Bank Eligible Collateral $C_i$: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E2660"/>
          <w:sz w:val="20"/>
        </w:rPr>
        <w:t>Case A: Performing Loans (STD-0, STD-1, STD-2, SMA)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General provisions are computed directly on the gross outstanding exposure without collateral deduction: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$$\text{GP}_i = E_i \times R_{\text{GP}}$$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$R_{\text{GP}}$ is the applicable general provision rate (1.0% for Standard; 5.0% for SMA).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E2660"/>
          <w:sz w:val="20"/>
        </w:rPr>
        <w:t>Case B: Non-Performing Loans (SS, DF, B/L)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Specific provisions are computed on the </w:t>
      </w:r>
      <w:r>
        <w:rPr>
          <w:rFonts w:ascii="Calibri" w:hAnsi="Calibri" w:eastAsia="Calibri"/>
          <w:b/>
          <w:i w:val="0"/>
          <w:color w:val="222222"/>
          <w:sz w:val="19"/>
        </w:rPr>
        <w:t>Net Base for Provision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after subtracting eligible collateral: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$$\text{Base for Provision } B_i = \max\left(0,\, E_i - \text{Interest Suspense}_i - C_i^{\text{eligible}}\right)$$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$$\text{Specific Provision } \text{SP}_i = B_i \times R_{\text{SP}}$$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$R_{\text{SP}}$ is the statutory specific provision rate (20% for SS, 50% for DF, 100% for B/L).</w:t>
      </w:r>
    </w:p>
    <w:p>
      <w:pPr>
        <w:pStyle w:val="Heading3"/>
        <w:keepNext/>
      </w:pPr>
      <w:r>
        <w:t>3.3 Interest Suspense Accounting Treatment (BRPD Mandate)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Bangladesh Bank regulations, when any facility degrades to Sub-Standard (SS), Doubtful (DF), or Bad/Loss (B/L):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Accrual Reversal: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All unrealized interest accrued during the current accounting period must be immediately reversed from the Profit &amp; Loss statement: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Income Account (P&amp;L)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Suspense Account (Balance Sheet Liability / Contra-Asset)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Ongoing Accrual Treatment: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Any subsequent interest charged on the classified account cannot be recognized as bank earnings: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Outstanding / Advance Account (Asset)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Suspense Account (Balance Sheet)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Cash Realization Rule: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in suspense is recognized as income if and only if actual cash collection occurs: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Cash / Clearing Account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Outstanding / Advance Account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Simultaneous Reversal: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Debit Interest Suspense Account / Credit Interest Income Account (P&amp;L)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ULMS v2.0 automates these journal vouchers via the core </w:t>
      </w:r>
      <w:r>
        <w:rPr>
          <w:rFonts w:ascii="Consolas" w:hAnsi="Consolas" w:eastAsia="Consolas"/>
          <w:b w:val="0"/>
          <w:i w:val="0"/>
          <w:color w:val="8B0000"/>
          <w:sz w:val="18"/>
        </w:rPr>
        <w:t>BrpdClassifier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service, generating standardized ISO 20022 / CBS GL staging feeds nightly.</w:t>
      </w:r>
    </w:p>
    <w:p>
      <w:pPr>
        <w:pStyle w:val="Heading2"/>
        <w:keepNext/>
      </w:pPr>
      <w:r>
        <w:t>4. End-of-Day (EOD) Automated Classification Engine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ULMS v2.0 executes an automated classification batch every business day at </w:t>
      </w:r>
      <w:r>
        <w:rPr>
          <w:rFonts w:ascii="Calibri" w:hAnsi="Calibri" w:eastAsia="Calibri"/>
          <w:b/>
          <w:i w:val="0"/>
          <w:color w:val="222222"/>
          <w:sz w:val="19"/>
        </w:rPr>
        <w:t>23:59:00</w:t>
      </w:r>
      <w:r>
        <w:rPr>
          <w:rFonts w:ascii="Calibri" w:hAnsi="Calibri" w:eastAsia="Calibri"/>
          <w:b w:val="0"/>
          <w:i w:val="0"/>
          <w:color w:val="222222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sequenceDiagram]</w:t>
              <w:br/>
              <w:t>sequenceDiagram</w:t>
              <w:br/>
              <w:t xml:space="preserve">    autonumber</w:t>
              <w:br/>
              <w:t xml:space="preserve">    participant Sched as Spring Scheduler</w:t>
              <w:br/>
              <w:t xml:space="preserve">    participant Engine as BrpdClassifier Service</w:t>
              <w:br/>
              <w:t xml:space="preserve">    participant DB as PostgreSQL 17 Database</w:t>
              <w:br/>
              <w:t xml:space="preserve">    participant GL as Core Banking / GL Staging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Zero-Human-Error Guarantee: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The batch operates autonomously without manual spreadsheet intervention.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Any manual classification override by a senior credit committee requires mandatory two-factor authorization, justification text, and is logged in the permanent audit trail.</w:t>
      </w:r>
    </w:p>
    <w:p>
      <w:pPr>
        <w:pStyle w:val="Heading2"/>
        <w:keepNext/>
      </w:pPr>
      <w:r>
        <w:t>5. Rescheduling, Restructuring &amp; Concession Tracking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Under BRPD guidelines, rescheduled loans cannot be immediately upgraded to Standard Current (STD-0). ULMS enforces central bank restructuring rules: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Down Payment Verification: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requires proof of down payment (typically 2.5% to 7.5% depending on whether it is a 1st, 2nd, or 3rd reschedule) before recalculating the amortization schedule.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Six-Month Seasoning Period: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Rescheduled accounts remain in a probationary status for at least 6 months with flawless repayments before they can qualify for an automated upgrade.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Reschedule Counter Tracking: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maintains an indelible counter of how many times a facility has been rescheduled across the borrower's lifetime.</w:t>
      </w:r>
    </w:p>
    <w:p>
      <w:pPr>
        <w:pStyle w:val="Heading2"/>
        <w:keepNext/>
      </w:pPr>
      <w:r>
        <w:t>6. Automated Regulatory Returns (CL-1 to CL-5)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natively generates the complete suite of central bank regulatory returns required under BRPD guidelines: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Return Code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Central Bank Form Title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Reporting Frequency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Generation Method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 Statement of Outstanding Credit, Classification &amp; Provisioning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One-Click Export (CSV / Excel / PDF)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Breakdown of Sectoral &amp; Large Borrower Classifications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Aggregated by BB Sector Code &amp; Single Borrower Limits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Top 20 Defaulted Borrowers &amp; Action Plans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Auto-sorted by gross defaulted balance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Rescheduled &amp; Restructured Loans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Filtered by active probationary reschedule tags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CL-5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Written-Off Loans &amp; Recovery Progress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Historical ledger tracking recovery collections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7. Audit Defense &amp; Regulatory Certification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When Bangladesh Bank inspection teams conduct on-site examinations: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Instant Audit Trails: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Compliance officers can produce a complete, unalterable timeline showing every repayment, missed due date, DPD milestone, and provision recalculation.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Contractual Regulatory Guarantee: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includes a formal warranty in its Master Software License Agreement guaranteeing that the ULMS classification engine complies 100% with BRPD Circular 15/2024, with guaranteed free regulatory patches for future central bank amendments.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Regulatory Compliance &amp; Financial Architecture.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Regulatory Whitepaper: Automated Compliance 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Regulatory Whitepaper: Automated Compliance with BRPD Circular 15/2024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