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Compliance Dossier - IFRS-9 Expected Credit Loss (ECL) Calculation Engine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DOC-36-REG-02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DOC-36-REG-02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Technical Regulatory Whitepaper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[cro, cfo, external_auditor, head_of_credit_risk, compliance_officer]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Compliance Dossier: IFRS-9 Expected Credit Loss (ECL) Engine</w:t>
      </w:r>
    </w:p>
    <w:p>
      <w:pPr>
        <w:pStyle w:val="Heading2"/>
        <w:keepNext/>
      </w:pPr>
      <w:r>
        <w:t>Mathematical Foundations, 3-Stage Impairment Modeling &amp; Regulatory Convergence for Bangladesh Banks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Impairment staging and ECL calculation interface" title="Figure 1: Production UI — 3-Stage Impairment &amp; Forward-Looking Provision Calc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lass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Production UI — 3-Stage Impairment &amp; Forward-Looking Provision Calculation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DOC-36-REG-02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Regulatory Mandate: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Bangladesh Bank Roadmap for IFRS-9 Financial Instruments Adoption (Mandatory December 31, 2027)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Principal Quantitative Risk Modeler &amp; Chief Credit Risk Architect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Authoritative Technical &amp; Regulatory Dossier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Executive Summary &amp; The 2027 Regulatory Mandate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74447"/>
            <wp:docPr id="2" name="Picture 2" descr="Regulatory alignment matrix" title="Figure 2: Regulatory Convergence — Dual Reconciliation Between BRPD 15 and IFRS-9 EC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brp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74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Regulatory Convergence — Dual Reconciliation Between BRPD 15 and IFRS-9 ECL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Historically, the Bangladesh banking sector operated under the </w:t>
      </w:r>
      <w:r>
        <w:rPr>
          <w:rFonts w:ascii="Calibri" w:hAnsi="Calibri" w:eastAsia="Calibri"/>
          <w:b/>
          <w:i w:val="0"/>
          <w:color w:val="222222"/>
          <w:sz w:val="19"/>
        </w:rPr>
        <w:t>Incurred Loss Model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(governed by traditional BRPD classification rules), where provisions were recognized only after objective evidence of loss had already materialized (e.g., missed installments exceeding 90 days).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Recognizing the systemic fragility of backward-looking provisioning, </w:t>
      </w:r>
      <w:r>
        <w:rPr>
          <w:rFonts w:ascii="Calibri" w:hAnsi="Calibri" w:eastAsia="Calibri"/>
          <w:b/>
          <w:i w:val="0"/>
          <w:color w:val="222222"/>
          <w:sz w:val="19"/>
        </w:rPr>
        <w:t>Bangladesh Bank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has issued a strategic directive requiring all scheduled commercial banks and financial institutions to fully implement </w:t>
      </w:r>
      <w:r>
        <w:rPr>
          <w:rFonts w:ascii="Calibri" w:hAnsi="Calibri" w:eastAsia="Calibri"/>
          <w:b/>
          <w:i w:val="0"/>
          <w:color w:val="222222"/>
          <w:sz w:val="19"/>
        </w:rPr>
        <w:t>IFRS-9 (Financial Instruments)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by </w:t>
      </w:r>
      <w:r>
        <w:rPr>
          <w:rFonts w:ascii="Calibri" w:hAnsi="Calibri" w:eastAsia="Calibri"/>
          <w:b/>
          <w:i w:val="0"/>
          <w:color w:val="222222"/>
          <w:sz w:val="19"/>
        </w:rPr>
        <w:t>December 31, 2027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Heading3"/>
        <w:keepNext/>
      </w:pPr>
      <w:r>
        <w:t>The Core Paradigm Shift: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IFRS-9 mandates a forward-looking </w:t>
      </w:r>
      <w:r>
        <w:rPr>
          <w:rFonts w:ascii="Calibri" w:hAnsi="Calibri" w:eastAsia="Calibri"/>
          <w:b/>
          <w:i w:val="0"/>
          <w:color w:val="222222"/>
          <w:sz w:val="19"/>
        </w:rPr>
        <w:t>Expected Credit Loss (ECL)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framework: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Provisions must be recognized on </w:t>
      </w:r>
      <w:r>
        <w:rPr>
          <w:rFonts w:ascii="Calibri" w:hAnsi="Calibri" w:eastAsia="Calibri"/>
          <w:b/>
          <w:i w:val="0"/>
          <w:color w:val="222222"/>
          <w:sz w:val="19"/>
        </w:rPr>
        <w:t>Day 1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of loan origination based on 12-month forward loss expectations.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Facilities experiencing a </w:t>
      </w:r>
      <w:r>
        <w:rPr>
          <w:rFonts w:ascii="Calibri" w:hAnsi="Calibri" w:eastAsia="Calibri"/>
          <w:b/>
          <w:i w:val="0"/>
          <w:color w:val="222222"/>
          <w:sz w:val="19"/>
        </w:rPr>
        <w:t>Significant Increase in Credit Risk (SICR)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must immediately recognize full </w:t>
      </w:r>
      <w:r>
        <w:rPr>
          <w:rFonts w:ascii="Calibri" w:hAnsi="Calibri" w:eastAsia="Calibri"/>
          <w:b/>
          <w:i w:val="0"/>
          <w:color w:val="222222"/>
          <w:sz w:val="19"/>
        </w:rPr>
        <w:t>Lifetime Expected Credit Losses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ULMS v2.0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provides an embedded, automated </w:t>
      </w:r>
      <w:r>
        <w:rPr>
          <w:rFonts w:ascii="Calibri" w:hAnsi="Calibri" w:eastAsia="Calibri"/>
          <w:b/>
          <w:i w:val="0"/>
          <w:color w:val="222222"/>
          <w:sz w:val="19"/>
        </w:rPr>
        <w:t>IFRS-9 Quantitative Engine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that operates seamlessly alongside Bangladesh Bank’s BRPD Circular 15/2024 rules, enabling banks to run dual parallel provisioning runs without hiring multi-million-dollar external consulting consortiums.</w:t>
      </w:r>
    </w:p>
    <w:p>
      <w:pPr>
        <w:pStyle w:val="Heading2"/>
        <w:keepNext/>
      </w:pPr>
      <w:r>
        <w:t>2. The 3-Stage Impairment Architecture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Portfolio exposure and collections ledger" title="Figure 3: Exposure at Default — Amortization Schedule &amp; Collateral Haircut Net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colle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Exposure at Default — Amortization Schedule &amp; Collateral Haircut Netting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E2660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System Architecture Specification (Mermaid DSL):  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[Diagram Topology: flowchart LR]</w:t>
              <w:br/>
              <w:t>flowchart LR</w:t>
              <w:br/>
              <w:t xml:space="preserve">    subgraph S1 ["Stage 1: Performing Assets"]</w:t>
              <w:br/>
              <w:t xml:space="preserve">        S1_Desc["Initial Recognition or Low Credit Risk&lt;br/&gt;• 0–30 Days Past Due&lt;br/&gt;• 12-Month Expected Credit Loss (ECL)&lt;br/&gt;• Effective Interest on Gross Exposure"]</w:t>
              <w:br/>
              <w:t xml:space="preserve">    end</w:t>
              <w:br/>
              <w:br/>
              <w:t xml:space="preserve">    subgraph S2 ["Stage 2: Underperforming Assets"]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Quantitative Stage Transition Rules: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Stage 1 to Stage 2 (SICR Triggers):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Quantitative Trigger: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Delinquency exceeds 30 Days Past Due (DPD) or internal credit score drops by more than 20% from origination.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/>
          <w:i w:val="0"/>
          <w:color w:val="222222"/>
          <w:sz w:val="19"/>
        </w:rPr>
        <w:t>Qualitative Trigger: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Borrower placed on watch-list, economic sector downgrade, or central bank CIB default alert on another facility.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Stage 2 to Stage 3 (Default Triggers):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>Delinquency exceeds 90 Days Past Due, bankruptcy petition filed, or facility classified as Sub-Standard (SS), Doubtful (DF), or Bad/Loss (B/L) under BRPD 15/2024.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Curing &amp; Upgrades: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Regaining Stage 1 status requires a mandatory probationary seasoning period of at least </w:t>
      </w:r>
      <w:r>
        <w:rPr>
          <w:rFonts w:ascii="Calibri" w:hAnsi="Calibri" w:eastAsia="Calibri"/>
          <w:b/>
          <w:i w:val="0"/>
          <w:color w:val="222222"/>
          <w:sz w:val="19"/>
        </w:rPr>
        <w:t>6 consecutive regular monthly installments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Heading2"/>
        <w:keepNext/>
      </w:pPr>
      <w:r>
        <w:t>3. Mathematical ECL Quantification Engine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36248"/>
            <wp:docPr id="4" name="Picture 4" descr="Capital impact charts under dual regulatory reporting" title="Figure 4: Financial Stability — Capital Volatility Buffering &amp; Net Worth Preserv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kp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4: Financial Stability — Capital Volatility Buffering &amp; Net Worth Preservation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any credit exposure $i$ at forward time horizon $t$, the Expected Credit Loss is computed deterministically via the fundamental formula: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$$\text{ECL}_i = \sum_{t=1}^{T} \left( \text{PD}_{i,t} \times \text{LGD}_{i,t} \times \text{EAD}_{i,t} \times \text{DF}_t \right)$$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Where: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$\text{PD}_{i,t}$ (Probability of Default):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Point-in-Time (PiT) marginal probability that the borrower defaults in time interval $t$.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$\text{LGD}_{i,t}$ (Loss Given Default):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Percentage of exposure lost upon default after netting discounted collateral recoveries.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$\text{EAD}_{i,t}$ (Exposure at Default):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Gross exposure expected at the time of default, including accrued interest and undrawn commitments.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$\text{DF}_t$ (Discount Factor):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Time-value of money discount factor based on the facility’s Effective Interest Rate (EIR): $\text{DF}_t = \frac{1}{(1 + \text{EIR})^t}$.</w:t>
      </w:r>
    </w:p>
    <w:p>
      <w:pPr>
        <w:pStyle w:val="Heading2"/>
        <w:keepNext/>
      </w:pPr>
      <w:r>
        <w:t>4. Parameter Modeling &amp; Computational Methodologies</w:t>
      </w:r>
    </w:p>
    <w:p>
      <w:pPr>
        <w:pStyle w:val="Heading3"/>
        <w:keepNext/>
      </w:pPr>
      <w:r>
        <w:t>4.1 Point-in-Time Probability of Default (PD) Modeling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Through-the-Cycle (TTC) to Point-in-Time (PiT) Transformation: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applies a Vasicek single-factor credit model with Vasicek adjustment formula: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$$\text{PD}_{\text{PiT}} = \Phi\left( \frac{\Phi^{-1}(\text{PD}_{\text{TTC}}) - \sqrt{\rho} \cdot Z}{\sqrt{1 - \rho}} \right)$$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Where $\Phi$ is the standard normal cumulative distribution function, $\rho$ is the asset correlation factor, and $Z$ is the macroeconomic systemic factor.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Forward-Looking Macroeconomic Overlay: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The engine integrates three forward scenarios (Baseline 50%, Bullish 25%, Bearish 25%) factoring Bangladesh GDP growth, inflation, and policy interest rates.</w:t>
      </w:r>
    </w:p>
    <w:p>
      <w:pPr>
        <w:pStyle w:val="Heading3"/>
        <w:keepNext/>
      </w:pPr>
      <w:r>
        <w:t>4.2 Loss Given Default (LGD) Modeling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Formula: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$\text{LGD} = 1 - \frac{\text{PV}(\text{Net Recoveries})}{\text{EAD}}$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Haircut Enforcement: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Evaluates forced-sale collateral realization curves with statutory haircuts: Cash (0%), Treasury Bonds (0%), Land/Buildings (20% haircut + 2-year recovery realization lag), Hypothecated Stock (50% haircut).</w:t>
      </w:r>
    </w:p>
    <w:p>
      <w:pPr>
        <w:pStyle w:val="Heading3"/>
        <w:keepNext/>
      </w:pPr>
      <w:r>
        <w:t>4.3 Exposure at Default (EAD) Modeling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amortizing installment loans: EAD equals the remaining principal plus accrued interest at period $t$.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For revolving limits and overdrafts: EAD includes an automated Credit Conversion Factor (CCF) applied to undrawn sanctioned limits: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$$\text{EAD} = \text{Drawn Balance} + (\text{Undrawn Limit} \times \text{CCF})$$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(Default CCF = 20% for retail lines, 50% for corporate limits per Basel III guidelines).</w:t>
      </w:r>
    </w:p>
    <w:p>
      <w:pPr>
        <w:pStyle w:val="Heading2"/>
        <w:keepNext/>
      </w:pPr>
      <w:r>
        <w:t>5. Automated Accounting &amp; CBS General Ledger Feeds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Upon completion of the nightly ECL calculation, ULMS determines the incremental impairment variance and stages automated balanced journal vouchers: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IFRS-9 IMPAIRMENT JOURNAL VOUCHER (CBS STAGING)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├────────────────────────────────────────┬──────────────────┬─────────────────┤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General Ledger Account                 │ Debit (BDT)      │ Credit (BDT)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├────────────────────────────────────────┼──────────────────┼─────────────────┤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Impairment Charge on Loans (P&amp;L)   │ ৳  42,50,000     │        —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Allowance for Expected Credit Loss │        —         │ ৳  42,50,000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*(Balance Sheet Contra-Asset)*         │                  │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├────────────────────────────────────────┼──────────────────┼─────────────────┤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TOTAL BALANCED JOURNAL ENTRY       │ ৳ 42,50,000  │ ৳ 42,50,000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└────────────────────────────────────────┴──────────────────┴─────────────────┘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 Audit Defense &amp; External Auditor Certification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v2.0 provides dedicated workspaces for external audit firms (Big 4: PwC, EY, KPMG, Deloitte and local audit firms):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Full Traceability: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Every ECL number can be drilled down to individual loan cash-flow schedules, assigned PD transition buckets, and collateral appraisal dates.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Scenario Stress-Testing: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Risk officers can run dynamic "What-If" stress tests modeling economic shocks (e.g., currency depreciation, interest rate hikes) in seconds.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Statutory Dual Reporting: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Generates side-by-side reconciliation tables comparing BRPD 15/2024 statutory provisions vs. IFRS-9 ECL allowances, ensuring seamless transition prior to December 31, 2027.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Quantitative Risk Architecture &amp; Regulatory Engineering.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Compliance Dossier - IFRS-9 Expected Credit 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Dossier - IFRS-9 Expected Credit Loss (ECL) Calculation Engine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