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Calibri"/>
          <w:b/>
          <w:i w:val="0"/>
          <w:color w:val="1E2660"/>
          <w:sz w:val="17"/>
        </w:rPr>
        <w:t xml:space="preserve">UNISOFT SYSTEMS LIMITED </w:t>
      </w:r>
      <w:r>
        <w:rPr>
          <w:rFonts w:ascii="Calibri" w:hAnsi="Calibri" w:eastAsia="Calibri"/>
          <w:b w:val="0"/>
          <w:i w:val="0"/>
          <w:color w:val="555555"/>
          <w:sz w:val="16"/>
        </w:rPr>
        <w:t>· A SUBSIDIARY OF SMART TECHNOLOGIES BD LTD</w:t>
      </w:r>
    </w:p>
    <w:p>
      <w:pPr>
        <w:keepNext/>
        <w:spacing w:before="80" w:after="80"/>
      </w:pPr>
      <w:r>
        <w:rPr>
          <w:rFonts w:ascii="Calibri" w:hAnsi="Calibri" w:eastAsia="Calibri"/>
          <w:b/>
          <w:i w:val="0"/>
          <w:color w:val="1E2660"/>
          <w:sz w:val="38"/>
        </w:rPr>
        <w:t>Regulatory Dossier - CIB Online Real-Time Integration &amp; Monthly Reporting</w:t>
      </w:r>
    </w:p>
    <w:p>
      <w:pPr>
        <w:keepNext/>
        <w:spacing w:before="0" w:after="160"/>
      </w:pPr>
      <w:r>
        <w:rPr>
          <w:rFonts w:ascii="Calibri" w:hAnsi="Calibri" w:eastAsia="Calibri"/>
          <w:b/>
          <w:i w:val="0"/>
          <w:color w:val="3F51B5"/>
          <w:sz w:val="19"/>
        </w:rPr>
        <w:t xml:space="preserve">Commercial Banking Documentation · Document Ref: </w:t>
      </w:r>
      <w:r>
        <w:rPr>
          <w:rFonts w:ascii="Consolas" w:hAnsi="Consolas" w:eastAsia="Consolas"/>
          <w:b w:val="0"/>
          <w:i w:val="0"/>
          <w:color w:val="1E2660"/>
          <w:sz w:val="19"/>
        </w:rPr>
        <w:t>DOC-37-REG-03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40" w:hRule="exact"/>
        </w:trPr>
        <w:tc>
          <w:tcPr>
            <w:tcW w:type="dxa" w:w="9638"/>
            <w:shd w:fill="1E2660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417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Document Identifier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Release Version</w:t>
            </w:r>
          </w:p>
        </w:tc>
        <w:tc>
          <w:tcPr>
            <w:tcW w:type="dxa" w:w="198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Security Classification</w:t>
            </w:r>
          </w:p>
        </w:tc>
        <w:tc>
          <w:tcPr>
            <w:tcW w:type="dxa" w:w="255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Publication Date</w:t>
            </w:r>
          </w:p>
        </w:tc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Target Audience</w:t>
            </w:r>
          </w:p>
        </w:tc>
      </w:tr>
      <w:tr>
        <w:trPr>
          <w:cantSplit/>
        </w:trPr>
        <w:tc>
          <w:tcPr>
            <w:tcW w:type="dxa" w:w="141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DOC-37-REG-03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2.0.0</w:t>
            </w:r>
          </w:p>
        </w:tc>
        <w:tc>
          <w:tcPr>
            <w:tcW w:type="dxa" w:w="19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Technical Regulatory Whitepaper</w:t>
            </w:r>
          </w:p>
        </w:tc>
        <w:tc>
          <w:tcPr>
            <w:tcW w:type="dxa" w:w="255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2026-10-08</w:t>
            </w:r>
          </w:p>
        </w:tc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[head_of_cib, cro, cio, head_of_credit_operations, compliance_officer]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Regulatory Dossier: CIB Online Real-Time Integration &amp; Reporting</w:t>
      </w:r>
    </w:p>
    <w:p>
      <w:pPr>
        <w:pStyle w:val="Heading2"/>
        <w:keepNext/>
      </w:pPr>
      <w:r>
        <w:t>Machine-to-Machine REST Gateway, Automated Ingestion &amp; Central Bank Batch Return Generation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1" name="Picture 1" descr="Customer credit profile showing parsed CIB report" title="Figure 1: Production UI — Real-Time CIB Inquiry Results &amp; Cross-Institution Exposure Dossi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custom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1: Production UI — Real-Time CIB Inquiry Results &amp; Cross-Institution Exposure Dossier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Document Identifier: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DOC-37-REG-03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Regulatory Mandate: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Bangladesh Bank Credit Information Bureau (CIB) Guidelines &amp; Circulars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Author: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Senior Banking Integration Architect &amp; CIB Operations Lead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Publisher: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Unisoft Systems Limited (A Subsidiary of Smart Technologies BD Ltd)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Classification: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Authoritative Technical &amp; Operational Whitepaper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Version: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2.0.0</w:t>
      </w:r>
    </w:p>
    <w:p>
      <w:pPr>
        <w:pStyle w:val="Heading2"/>
        <w:keepNext/>
      </w:pPr>
      <w:r>
        <w:t>1. Executive Summary &amp; Operational Context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528000"/>
            <wp:docPr id="2" name="Picture 2" descr="API endpoints matrix for central bank gateway" title="Figure 2: API Architecture — Bangladesh Bank CIB REST Gateway Machine-to-Machine Interf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_end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2: API Architecture — Bangladesh Bank CIB REST Gateway Machine-to-Machine Interface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In Bangladesh banking, inquiring into the </w:t>
      </w:r>
      <w:r>
        <w:rPr>
          <w:rFonts w:ascii="Calibri" w:hAnsi="Calibri" w:eastAsia="Calibri"/>
          <w:b/>
          <w:i w:val="0"/>
          <w:color w:val="222222"/>
          <w:sz w:val="19"/>
        </w:rPr>
        <w:t>Credit Information Bureau (CIB)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of Bangladesh Bank is a mandatory statutory precondition before the sanction, renewal, or rescheduling of any credit facility.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Historically, commercial banks operate manual CIB cells where branch officers email physical requisition forms to a centralized Head Office team. Designated operators manually log into the Bangladesh Bank web portal, download PDF reports, and email them back—a process consuming </w:t>
      </w:r>
      <w:r>
        <w:rPr>
          <w:rFonts w:ascii="Calibri" w:hAnsi="Calibri" w:eastAsia="Calibri"/>
          <w:b/>
          <w:i w:val="0"/>
          <w:color w:val="222222"/>
          <w:sz w:val="19"/>
        </w:rPr>
        <w:t>24 to 72 hours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and exposing sensitive financial data to human handling.</w:t>
      </w:r>
    </w:p>
    <w:p>
      <w:pPr>
        <w:spacing w:after="8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ULMS v2.0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completely eliminates this operational bottleneck through a certified, automated </w:t>
      </w:r>
      <w:r>
        <w:rPr>
          <w:rFonts w:ascii="Calibri" w:hAnsi="Calibri" w:eastAsia="Calibri"/>
          <w:b/>
          <w:i w:val="0"/>
          <w:color w:val="222222"/>
          <w:sz w:val="19"/>
        </w:rPr>
        <w:t>CIB Online Machine-to-Machine REST Integration Gateway</w:t>
      </w:r>
      <w:r>
        <w:rPr>
          <w:rFonts w:ascii="Calibri" w:hAnsi="Calibri" w:eastAsia="Calibri"/>
          <w:b w:val="0"/>
          <w:i w:val="0"/>
          <w:color w:val="222222"/>
          <w:sz w:val="19"/>
        </w:rPr>
        <w:t>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Real-Time Automated Inquiries: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Direct API query triggered from the branch onboarding screen, returning structured credit histories in </w:t>
      </w:r>
      <w:r>
        <w:rPr>
          <w:rFonts w:ascii="Calibri" w:hAnsi="Calibri" w:eastAsia="Calibri"/>
          <w:b/>
          <w:i w:val="0"/>
          <w:color w:val="222222"/>
          <w:sz w:val="19"/>
        </w:rPr>
        <w:t>under 3 seconds</w:t>
      </w:r>
      <w:r>
        <w:rPr>
          <w:rFonts w:ascii="Calibri" w:hAnsi="Calibri" w:eastAsia="Calibri"/>
          <w:b w:val="0"/>
          <w:i w:val="0"/>
          <w:color w:val="222222"/>
          <w:sz w:val="19"/>
        </w:rPr>
        <w:t>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Zero-Human-Error Parsing: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Converts central bank XML/JSON responses into relational risk metrics, credit scorecards, and cross-default tags.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Automated Monthly Reporting: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Compiles and exports central bank monthly Subject and Contract batch files natively.</w:t>
      </w:r>
    </w:p>
    <w:p>
      <w:pPr>
        <w:pStyle w:val="Heading2"/>
        <w:keepNext/>
      </w:pPr>
      <w:r>
        <w:t>2. End-to-End Real-Time Inquiry Architecture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99500"/>
            <wp:docPr id="3" name="Picture 3" descr="Origination pipeline screen illustrating automated CIB hard check" title="Figure 3: Underwriting Pipeline — Automated Pre-Sanction CIB Screening Trigg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9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 w:eastAsia="Calibri"/>
          <w:b/>
          <w:i/>
          <w:color w:val="555555"/>
          <w:sz w:val="17"/>
        </w:rPr>
        <w:t>Figure 3: Underwriting Pipeline — Automated Pre-Sanction CIB Screening Trigger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0FA"/>
            <w:tcMar>
              <w:top w:w="140" w:type="dxa"/>
              <w:bottom w:w="140" w:type="dxa"/>
              <w:left w:w="200" w:type="dxa"/>
              <w:right w:w="180" w:type="dxa"/>
            </w:tcMar>
            <w:tcBorders>
              <w:top w:val="none"/>
              <w:left w:val="single" w:sz="36" w:space="0" w:color="1E2660"/>
              <w:bottom w:val="none"/>
              <w:right w:val="none"/>
            </w:tcBorders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1E2660"/>
                <w:sz w:val="18"/>
              </w:rPr>
              <w:t xml:space="preserve">System Architecture Specification (Mermaid DSL):  </w:t>
            </w: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[Diagram Topology: sequenceDiagram]</w:t>
              <w:br/>
              <w:t>sequenceDiagram</w:t>
              <w:br/>
              <w:t xml:space="preserve">    autonumber</w:t>
              <w:br/>
              <w:t xml:space="preserve">    actor Officer as Branch Credit Officer</w:t>
              <w:br/>
              <w:t xml:space="preserve">    participant ULMS as ULMS Origination Engine</w:t>
              <w:br/>
              <w:t xml:space="preserve">    participant Gateway as CIB Integration Gateway</w:t>
              <w:br/>
              <w:t xml:space="preserve">    participant BB as Bangladesh Bank CIB Server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>3. Automated Parsing &amp; Risk Extraction Capabilities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Upon receiving the central bank response, the ULMS CIB parser deterministically extracts and computes key credit metrics:</w:t>
      </w:r>
    </w:p>
    <w:p>
      <w:pPr>
        <w:pStyle w:val="Heading3"/>
        <w:keepNext/>
      </w:pPr>
      <w:r>
        <w:t>1. Cross-Institution Total Funded &amp; Non-Funded Exposure: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Aggregates active borrowing across all 62 commercial banks and 35 NBFIs in Bangladesh.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Categorizes exposure into: Continuous Overdrafts, Term Loans, Credit Cards, Letters of Credit (LC), and Guarantees.</w:t>
      </w:r>
    </w:p>
    <w:p>
      <w:pPr>
        <w:pStyle w:val="Heading3"/>
        <w:keepNext/>
      </w:pPr>
      <w:r>
        <w:t>2. Default &amp; Litigation History Detection (Hard-Stop Triggers):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Active Classified Facilities: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Detects any facility currently tagged as Sub-Standard (SS), Doubtful (DF), or Bad/Loss (B/L) anywhere in the financial system.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Historical Write-Offs: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Scans for historical bank write-offs in the borrower’s name or associated business concerns.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Artha Rin Adalat Litigation: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Flags active court cases or money loan recovery suits.</w:t>
      </w:r>
    </w:p>
    <w:p>
      <w:pPr>
        <w:pStyle w:val="Heading3"/>
        <w:keepNext/>
      </w:pPr>
      <w:r>
        <w:t>3. Automated Borrower Deduplication &amp; Group Exposure: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Matches borrower records using 10-digit Smart NID, 17-digit legacy NID, Tax Identification Number (e-TIN), and Company Registration (RJSC).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Consolidates sister concerns under the </w:t>
      </w:r>
      <w:r>
        <w:rPr>
          <w:rFonts w:ascii="Calibri" w:hAnsi="Calibri" w:eastAsia="Calibri"/>
          <w:b/>
          <w:i w:val="0"/>
          <w:color w:val="222222"/>
          <w:sz w:val="19"/>
        </w:rPr>
        <w:t>Single Borrower Exposure Limit (SBEL)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rules of Bangladesh Bank.</w:t>
      </w:r>
    </w:p>
    <w:p>
      <w:pPr>
        <w:pStyle w:val="Heading2"/>
        <w:keepNext/>
      </w:pPr>
      <w:r>
        <w:t>4. Automated Monthly CIB Batch Reporting Engine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Per central bank directives, scheduled banks must submit monthly electronic CIB returns capturing all active borrowers and contract statuses by the 10th of every calendar month.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ULMS v2.0 automates the generation, validation, and encryption of both mandatory central bank files: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  <w:cantSplit/>
        </w:trPr>
        <w:tc>
          <w:tcPr>
            <w:tcW w:type="dxa" w:w="1701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File Code</w:t>
            </w:r>
          </w:p>
        </w:tc>
        <w:tc>
          <w:tcPr>
            <w:tcW w:type="dxa" w:w="1814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Central Bank Statement Title</w:t>
            </w:r>
          </w:p>
        </w:tc>
        <w:tc>
          <w:tcPr>
            <w:tcW w:type="dxa" w:w="2438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Records Captured</w:t>
            </w:r>
          </w:p>
        </w:tc>
        <w:tc>
          <w:tcPr>
            <w:tcW w:type="dxa" w:w="3685"/>
            <w:shd w:fill="1E266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Validation &amp; Export Method</w:t>
            </w:r>
          </w:p>
        </w:tc>
      </w:tr>
      <w:tr>
        <w:trPr>
          <w:cantSplit/>
        </w:trPr>
        <w:tc>
          <w:tcPr>
            <w:tcW w:type="dxa" w:w="1701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SUBJECT.TXT</w:t>
            </w:r>
          </w:p>
        </w:tc>
        <w:tc>
          <w:tcPr>
            <w:tcW w:type="dxa" w:w="181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Master Borrower Demographic &amp; Identity File</w:t>
            </w:r>
          </w:p>
        </w:tc>
        <w:tc>
          <w:tcPr>
            <w:tcW w:type="dxa" w:w="243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NID, TIN, Trade License, Address, Group Linkages</w:t>
            </w:r>
          </w:p>
        </w:tc>
        <w:tc>
          <w:tcPr>
            <w:tcW w:type="dxa" w:w="368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Schema Validator (Checks 34 mandatory BB regex rules)</w:t>
            </w:r>
          </w:p>
        </w:tc>
      </w:tr>
      <w:tr>
        <w:trPr>
          <w:cantSplit/>
        </w:trPr>
        <w:tc>
          <w:tcPr>
            <w:tcW w:type="dxa" w:w="1701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/>
                <w:i w:val="0"/>
                <w:color w:val="222222"/>
                <w:sz w:val="18"/>
              </w:rPr>
              <w:t>CONTRACT.TXT</w:t>
            </w:r>
          </w:p>
        </w:tc>
        <w:tc>
          <w:tcPr>
            <w:tcW w:type="dxa" w:w="1814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Monthly Credit Facility Performance File</w:t>
            </w:r>
          </w:p>
        </w:tc>
        <w:tc>
          <w:tcPr>
            <w:tcW w:type="dxa" w:w="2438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Sanctioned Limit, Outstanding Balance, DPD, Installment Due, Classification Status</w:t>
            </w:r>
          </w:p>
        </w:tc>
        <w:tc>
          <w:tcPr>
            <w:tcW w:type="dxa" w:w="3685"/>
            <w:shd w:fill="F0F2F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18"/>
              </w:rPr>
              <w:t>Automated Ledger Reconciliation vs. CBS General Ledger</w:t>
            </w:r>
          </w:p>
        </w:tc>
      </w:tr>
    </w:tbl>
    <w:p>
      <w:pPr>
        <w:spacing w:after="80"/>
      </w:pPr>
    </w:p>
    <w:p>
      <w:pPr>
        <w:pStyle w:val="Heading3"/>
        <w:keepNext/>
      </w:pPr>
      <w:r>
        <w:t>Pre-Submission Error Screening Engine: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Before exporting files for central bank transmission, the built-in validator scans for common submission errors that trigger central bank rejections: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Invalid or duplicate NID formats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Negative outstanding balance anomalies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Inconsistent classification codes vs. DPD ranges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Unmatched contract account numbers</w:t>
      </w:r>
    </w:p>
    <w:p>
      <w:pPr>
        <w:pStyle w:val="Heading2"/>
        <w:keepNext/>
      </w:pPr>
      <w:r>
        <w:t>5. Security, Audit Trail &amp; Statutory Privacy Protection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 w:val="0"/>
          <w:color w:val="222222"/>
          <w:sz w:val="19"/>
        </w:rPr>
        <w:t>In compliance with the Bangladesh Bank ICT Security Guidelines V4.0 and central bank CIB regulations: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Mutual TLS &amp; PKI Encryption: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All communications with Bangladesh Bank utilize 256-bit AES encryption over mTLS with hardware security module (HSM) key storage.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Mandatory Borrower Consent Verification: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The system requires an uploaded, signed borrower consent form before permitting an automated CIB inquiry to execute.</w:t>
      </w:r>
    </w:p>
    <w:p>
      <w:pPr>
        <w:pStyle w:val="ListNumber"/>
        <w:spacing w:after="40" w:line="276" w:lineRule="auto"/>
      </w:pPr>
      <w:r>
        <w:rPr>
          <w:rFonts w:ascii="Calibri" w:hAnsi="Calibri" w:eastAsia="Calibri"/>
          <w:b/>
          <w:i w:val="0"/>
          <w:color w:val="222222"/>
          <w:sz w:val="19"/>
        </w:rPr>
        <w:t>Permanent Forensic Audit Log:</w:t>
      </w:r>
      <w:r>
        <w:rPr>
          <w:rFonts w:ascii="Calibri" w:hAnsi="Calibri" w:eastAsia="Calibri"/>
          <w:b w:val="0"/>
          <w:i w:val="0"/>
          <w:color w:val="222222"/>
          <w:sz w:val="19"/>
        </w:rPr>
        <w:t xml:space="preserve"> Logs the initiating officer ID, timestamp, branch code, customer IP, and purpose of every single CIB query, ready for central bank regulatory inspection.</w:t>
      </w:r>
    </w:p>
    <w:p>
      <w:pPr>
        <w:spacing w:after="80" w:line="276" w:lineRule="auto"/>
      </w:pPr>
      <w:r>
        <w:rPr>
          <w:rFonts w:ascii="Calibri" w:hAnsi="Calibri" w:eastAsia="Calibri"/>
          <w:b w:val="0"/>
          <w:i/>
          <w:color w:val="222222"/>
          <w:sz w:val="19"/>
        </w:rPr>
        <w:t>Unisoft Systems Limited — Banking Integration &amp; Regulatory Infrastructure.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6"/>
      </w:rPr>
      <w:t xml:space="preserve">Unisoft Systems Limited · Strictly Confidential · Page </w:t>
    </w:r>
    <w:fldSimple w:instr="PAGE"/>
    <w:r>
      <w:rPr>
        <w:rFonts w:ascii="Calibri" w:hAnsi="Calibri" w:eastAsia="Calibri"/>
        <w:b w:val="0"/>
        <w:i w:val="0"/>
        <w:color w:val="555555"/>
        <w:sz w:val="16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55555"/>
        <w:sz w:val="16"/>
      </w:rPr>
      <w:t>Unisoft Loan Management System (ULMS v2.0) — Regulatory Dossier - CIB Online Real-Time 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6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Regulatory Dossier - CIB Online Real-Time Integration &amp; Monthly Reporting</dc:title>
  <dc:subject/>
  <dc:creator>Unisoft Systems Limited</dc:creator>
  <cp:keywords/>
  <dc:description>A Subsidiary of Smart Technologies BD Ltd</dc:description>
  <cp:lastModifiedBy/>
  <cp:revision>1</cp:revision>
  <dcterms:created xsi:type="dcterms:W3CDTF">2013-12-23T23:15:00Z</dcterms:created>
  <dcterms:modified xsi:type="dcterms:W3CDTF">2013-12-23T23:15:00Z</dcterms:modified>
  <cp:category>Commercial Banking Documentation</cp:category>
</cp:coreProperties>
</file>