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i w:val="0"/>
          <w:color w:val="1E2660"/>
          <w:sz w:val="17"/>
        </w:rPr>
        <w:t xml:space="preserve">UNISOFT SYSTEMS LIMITED </w:t>
      </w:r>
      <w:r>
        <w:rPr>
          <w:rFonts w:ascii="Calibri" w:hAnsi="Calibri" w:eastAsia="Calibri"/>
          <w:b w:val="0"/>
          <w:i w:val="0"/>
          <w:color w:val="555555"/>
          <w:sz w:val="16"/>
        </w:rPr>
        <w:t>· A SUBSIDIARY OF SMART TECHNOLOGIES BD LTD</w:t>
      </w:r>
    </w:p>
    <w:p>
      <w:pPr>
        <w:keepNext/>
        <w:spacing w:before="80" w:after="80"/>
      </w:pPr>
      <w:r>
        <w:rPr>
          <w:rFonts w:ascii="Calibri" w:hAnsi="Calibri" w:eastAsia="Calibri"/>
          <w:b/>
          <w:i w:val="0"/>
          <w:color w:val="1E2660"/>
          <w:sz w:val="38"/>
        </w:rPr>
        <w:t>ULMS v2.0 - Master Business Documentation Catalog &amp; Sales Enablement Architecture</w:t>
      </w:r>
    </w:p>
    <w:p>
      <w:pPr>
        <w:keepNext/>
        <w:spacing w:before="0" w:after="160"/>
      </w:pPr>
      <w:r>
        <w:rPr>
          <w:rFonts w:ascii="Calibri" w:hAnsi="Calibri" w:eastAsia="Calibri"/>
          <w:b/>
          <w:i w:val="0"/>
          <w:color w:val="3F51B5"/>
          <w:sz w:val="19"/>
        </w:rPr>
        <w:t xml:space="preserve">Commercial Banking Documentation · Document Ref: </w:t>
      </w:r>
      <w:r>
        <w:rPr>
          <w:rFonts w:ascii="Consolas" w:hAnsi="Consolas" w:eastAsia="Consolas"/>
          <w:b w:val="0"/>
          <w:i w:val="0"/>
          <w:color w:val="1E2660"/>
          <w:sz w:val="19"/>
        </w:rPr>
        <w:t>DOC-BUS-CAT-001</w:t>
      </w:r>
    </w:p>
    <w:tbl>
      <w:tblPr>
        <w:tblW w:type="auto" w:w="0"/>
        <w:jc w:val="center"/>
        <w:tblLook w:firstColumn="1" w:firstRow="1" w:lastColumn="0" w:lastRow="0" w:noHBand="0" w:noVBand="1" w:val="04A0"/>
      </w:tblPr>
      <w:tblGrid>
        <w:gridCol w:w="9638"/>
      </w:tblGrid>
      <w:tr>
        <w:trPr>
          <w:trHeight w:val="40" w:hRule="exact"/>
        </w:trPr>
        <w:tc>
          <w:tcPr>
            <w:tcW w:type="dxa" w:w="9638"/>
            <w:shd w:fill="1E2660"/>
          </w:tcPr>
          <w:p>
            <w:pPr>
              <w:spacing w:before="0" w:after="0"/>
            </w:pPr>
            <w:r>
              <w:rPr>
                <w:sz w:val="4"/>
              </w:rPr>
            </w:r>
          </w:p>
        </w:tc>
      </w:tr>
    </w:tbl>
    <w:p>
      <w:pPr>
        <w:spacing w:after="120"/>
      </w:pPr>
    </w:p>
    <w:tbl>
      <w:tblPr>
        <w:tblStyle w:val="TableGrid"/>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928"/>
        <w:gridCol w:w="1928"/>
        <w:gridCol w:w="1928"/>
        <w:gridCol w:w="1928"/>
        <w:gridCol w:w="1928"/>
      </w:tblGrid>
      <w:tr>
        <w:trPr>
          <w:tblHeader w:val="true"/>
          <w:cantSplit/>
        </w:trPr>
        <w:tc>
          <w:tcPr>
            <w:tcW w:type="dxa" w:w="1417"/>
            <w:shd w:fill="1E2660"/>
            <w:tcMar>
              <w:top w:w="140" w:type="dxa"/>
              <w:bottom w:w="140" w:type="dxa"/>
              <w:left w:w="180" w:type="dxa"/>
              <w:right w:w="180" w:type="dxa"/>
            </w:tcMar>
          </w:tcPr>
          <w:p>
            <w:pPr>
              <w:spacing w:after="40"/>
            </w:pPr>
            <w:r>
              <w:rPr>
                <w:rFonts w:ascii="Calibri" w:hAnsi="Calibri" w:eastAsia="Calibri"/>
                <w:b/>
                <w:i w:val="0"/>
                <w:color w:val="FFFFFF"/>
                <w:sz w:val="18"/>
              </w:rPr>
              <w:t>Document Identifier</w:t>
            </w:r>
          </w:p>
        </w:tc>
        <w:tc>
          <w:tcPr>
            <w:tcW w:type="dxa" w:w="1984"/>
            <w:shd w:fill="1E2660"/>
            <w:tcMar>
              <w:top w:w="140" w:type="dxa"/>
              <w:bottom w:w="140" w:type="dxa"/>
              <w:left w:w="180" w:type="dxa"/>
              <w:right w:w="180" w:type="dxa"/>
            </w:tcMar>
          </w:tcPr>
          <w:p>
            <w:pPr>
              <w:spacing w:after="40"/>
            </w:pPr>
            <w:r>
              <w:rPr>
                <w:rFonts w:ascii="Calibri" w:hAnsi="Calibri" w:eastAsia="Calibri"/>
                <w:b/>
                <w:i w:val="0"/>
                <w:color w:val="FFFFFF"/>
                <w:sz w:val="18"/>
              </w:rPr>
              <w:t>Release Version</w:t>
            </w:r>
          </w:p>
        </w:tc>
        <w:tc>
          <w:tcPr>
            <w:tcW w:type="dxa" w:w="1984"/>
            <w:shd w:fill="1E2660"/>
            <w:tcMar>
              <w:top w:w="140" w:type="dxa"/>
              <w:bottom w:w="140" w:type="dxa"/>
              <w:left w:w="180" w:type="dxa"/>
              <w:right w:w="180" w:type="dxa"/>
            </w:tcMar>
          </w:tcPr>
          <w:p>
            <w:pPr>
              <w:spacing w:after="40"/>
            </w:pPr>
            <w:r>
              <w:rPr>
                <w:rFonts w:ascii="Calibri" w:hAnsi="Calibri" w:eastAsia="Calibri"/>
                <w:b/>
                <w:i w:val="0"/>
                <w:color w:val="FFFFFF"/>
                <w:sz w:val="18"/>
              </w:rPr>
              <w:t>Security Classification</w:t>
            </w:r>
          </w:p>
        </w:tc>
        <w:tc>
          <w:tcPr>
            <w:tcW w:type="dxa" w:w="2551"/>
            <w:shd w:fill="1E2660"/>
            <w:tcMar>
              <w:top w:w="140" w:type="dxa"/>
              <w:bottom w:w="140" w:type="dxa"/>
              <w:left w:w="180" w:type="dxa"/>
              <w:right w:w="180" w:type="dxa"/>
            </w:tcMar>
          </w:tcPr>
          <w:p>
            <w:pPr>
              <w:spacing w:after="40"/>
            </w:pPr>
            <w:r>
              <w:rPr>
                <w:rFonts w:ascii="Calibri" w:hAnsi="Calibri" w:eastAsia="Calibri"/>
                <w:b/>
                <w:i w:val="0"/>
                <w:color w:val="FFFFFF"/>
                <w:sz w:val="18"/>
              </w:rPr>
              <w:t>Publication Date</w:t>
            </w:r>
          </w:p>
        </w:tc>
        <w:tc>
          <w:tcPr>
            <w:tcW w:type="dxa" w:w="1701"/>
            <w:shd w:fill="1E2660"/>
            <w:tcMar>
              <w:top w:w="140" w:type="dxa"/>
              <w:bottom w:w="140" w:type="dxa"/>
              <w:left w:w="180" w:type="dxa"/>
              <w:right w:w="180" w:type="dxa"/>
            </w:tcMar>
          </w:tcPr>
          <w:p>
            <w:pPr>
              <w:spacing w:after="40"/>
            </w:pPr>
            <w:r>
              <w:rPr>
                <w:rFonts w:ascii="Calibri" w:hAnsi="Calibri" w:eastAsia="Calibri"/>
                <w:b/>
                <w:i w:val="0"/>
                <w:color w:val="FFFFFF"/>
                <w:sz w:val="18"/>
              </w:rPr>
              <w:t>Target Audience</w:t>
            </w:r>
          </w:p>
        </w:tc>
      </w:tr>
      <w:tr>
        <w:trPr>
          <w:cantSplit/>
        </w:trPr>
        <w:tc>
          <w:tcPr>
            <w:tcW w:type="dxa" w:w="1417"/>
            <w:tcMar>
              <w:top w:w="120" w:type="dxa"/>
              <w:bottom w:w="120" w:type="dxa"/>
              <w:left w:w="160" w:type="dxa"/>
              <w:right w:w="160" w:type="dxa"/>
            </w:tcMar>
          </w:tcPr>
          <w:p>
            <w:pPr>
              <w:spacing w:after="40" w:line="276" w:lineRule="auto"/>
            </w:pPr>
            <w:r>
              <w:rPr>
                <w:rFonts w:ascii="Calibri" w:hAnsi="Calibri" w:eastAsia="Calibri"/>
                <w:b w:val="0"/>
                <w:i w:val="0"/>
                <w:color w:val="222222"/>
                <w:sz w:val="18"/>
              </w:rPr>
              <w:t>DOC-BUS-CAT-001</w:t>
            </w:r>
          </w:p>
        </w:tc>
        <w:tc>
          <w:tcPr>
            <w:tcW w:type="dxa" w:w="1984"/>
            <w:tcMar>
              <w:top w:w="120" w:type="dxa"/>
              <w:bottom w:w="120" w:type="dxa"/>
              <w:left w:w="160" w:type="dxa"/>
              <w:right w:w="160" w:type="dxa"/>
            </w:tcMar>
          </w:tcPr>
          <w:p>
            <w:pPr>
              <w:spacing w:after="40" w:line="276" w:lineRule="auto"/>
            </w:pPr>
            <w:r>
              <w:rPr>
                <w:rFonts w:ascii="Calibri" w:hAnsi="Calibri" w:eastAsia="Calibri"/>
                <w:b w:val="0"/>
                <w:i w:val="0"/>
                <w:color w:val="222222"/>
                <w:sz w:val="18"/>
              </w:rPr>
              <w:t>2.0.0</w:t>
            </w:r>
          </w:p>
        </w:tc>
        <w:tc>
          <w:tcPr>
            <w:tcW w:type="dxa" w:w="1984"/>
            <w:tcMar>
              <w:top w:w="120" w:type="dxa"/>
              <w:bottom w:w="120" w:type="dxa"/>
              <w:left w:w="160" w:type="dxa"/>
              <w:right w:w="160" w:type="dxa"/>
            </w:tcMar>
          </w:tcPr>
          <w:p>
            <w:pPr>
              <w:spacing w:after="40" w:line="276" w:lineRule="auto"/>
            </w:pPr>
            <w:r>
              <w:rPr>
                <w:rFonts w:ascii="Calibri" w:hAnsi="Calibri" w:eastAsia="Calibri"/>
                <w:b w:val="0"/>
                <w:i w:val="0"/>
                <w:color w:val="222222"/>
                <w:sz w:val="18"/>
              </w:rPr>
              <w:t>Commercial Strategy &amp; Revenue Enablement Asset</w:t>
            </w:r>
          </w:p>
        </w:tc>
        <w:tc>
          <w:tcPr>
            <w:tcW w:type="dxa" w:w="2551"/>
            <w:tcMar>
              <w:top w:w="120" w:type="dxa"/>
              <w:bottom w:w="120" w:type="dxa"/>
              <w:left w:w="160" w:type="dxa"/>
              <w:right w:w="160" w:type="dxa"/>
            </w:tcMar>
          </w:tcPr>
          <w:p>
            <w:pPr>
              <w:spacing w:after="40" w:line="276" w:lineRule="auto"/>
            </w:pPr>
            <w:r>
              <w:rPr>
                <w:rFonts w:ascii="Calibri" w:hAnsi="Calibri" w:eastAsia="Calibri"/>
                <w:b w:val="0"/>
                <w:i w:val="0"/>
                <w:color w:val="222222"/>
                <w:sz w:val="18"/>
              </w:rPr>
              <w:t>2026-10-08</w:t>
            </w:r>
          </w:p>
        </w:tc>
        <w:tc>
          <w:tcPr>
            <w:tcW w:type="dxa" w:w="1701"/>
            <w:tcMar>
              <w:top w:w="120" w:type="dxa"/>
              <w:bottom w:w="120" w:type="dxa"/>
              <w:left w:w="160" w:type="dxa"/>
              <w:right w:w="160" w:type="dxa"/>
            </w:tcMar>
          </w:tcPr>
          <w:p>
            <w:pPr>
              <w:spacing w:after="40" w:line="276" w:lineRule="auto"/>
            </w:pPr>
            <w:r>
              <w:rPr>
                <w:rFonts w:ascii="Calibri" w:hAnsi="Calibri" w:eastAsia="Calibri"/>
                <w:b w:val="0"/>
                <w:i w:val="0"/>
                <w:color w:val="222222"/>
                <w:sz w:val="18"/>
              </w:rPr>
              <w:t>[executive, sales_director, account_executive, bid_manager, solutions_architect]</w:t>
            </w:r>
          </w:p>
        </w:tc>
      </w:tr>
    </w:tbl>
    <w:p>
      <w:pPr>
        <w:spacing w:after="80"/>
      </w:pPr>
    </w:p>
    <w:p>
      <w:pPr>
        <w:pStyle w:val="Heading1"/>
        <w:keepNext/>
      </w:pPr>
      <w:r>
        <w:t>ULMS v2.0 — Master Business Documentation Catalog &amp; Sales Enablement Architecture</w:t>
      </w:r>
    </w:p>
    <w:p>
      <w:pPr>
        <w:spacing w:after="80" w:line="276" w:lineRule="auto"/>
      </w:pPr>
      <w:r>
        <w:rPr>
          <w:rFonts w:ascii="Calibri" w:hAnsi="Calibri" w:eastAsia="Calibri"/>
          <w:b/>
          <w:i w:val="0"/>
          <w:color w:val="222222"/>
          <w:sz w:val="19"/>
        </w:rPr>
        <w:t>Document Identifier:</w:t>
      </w:r>
      <w:r>
        <w:rPr>
          <w:rFonts w:ascii="Calibri" w:hAnsi="Calibri" w:eastAsia="Calibri"/>
          <w:b w:val="0"/>
          <w:i w:val="0"/>
          <w:color w:val="222222"/>
          <w:sz w:val="19"/>
        </w:rPr>
        <w:t xml:space="preserve"> DOC-BUS-CAT-001</w:t>
      </w:r>
    </w:p>
    <w:p>
      <w:pPr>
        <w:spacing w:after="80" w:line="276" w:lineRule="auto"/>
      </w:pPr>
      <w:r>
        <w:rPr>
          <w:rFonts w:ascii="Calibri" w:hAnsi="Calibri" w:eastAsia="Calibri"/>
          <w:b/>
          <w:i w:val="0"/>
          <w:color w:val="222222"/>
          <w:sz w:val="19"/>
        </w:rPr>
        <w:t>Project:</w:t>
      </w:r>
      <w:r>
        <w:rPr>
          <w:rFonts w:ascii="Calibri" w:hAnsi="Calibri" w:eastAsia="Calibri"/>
          <w:b w:val="0"/>
          <w:i w:val="0"/>
          <w:color w:val="222222"/>
          <w:sz w:val="19"/>
        </w:rPr>
        <w:t xml:space="preserve"> Unisoft Loan Management System (ULMS v2.0)</w:t>
      </w:r>
    </w:p>
    <w:p>
      <w:pPr>
        <w:spacing w:after="80" w:line="276" w:lineRule="auto"/>
      </w:pPr>
      <w:r>
        <w:rPr>
          <w:rFonts w:ascii="Calibri" w:hAnsi="Calibri" w:eastAsia="Calibri"/>
          <w:b/>
          <w:i w:val="0"/>
          <w:color w:val="222222"/>
          <w:sz w:val="19"/>
        </w:rPr>
        <w:t>Target Market:</w:t>
      </w:r>
      <w:r>
        <w:rPr>
          <w:rFonts w:ascii="Calibri" w:hAnsi="Calibri" w:eastAsia="Calibri"/>
          <w:b w:val="0"/>
          <w:i w:val="0"/>
          <w:color w:val="222222"/>
          <w:sz w:val="19"/>
        </w:rPr>
        <w:t xml:space="preserve"> 62 Scheduled Commercial Banks, 35+ Non-Bank Financial Institutions (NBFIs), and Microfinance Institutions (MFIs) in Bangladesh</w:t>
      </w:r>
    </w:p>
    <w:p>
      <w:pPr>
        <w:spacing w:after="80" w:line="276" w:lineRule="auto"/>
      </w:pPr>
      <w:r>
        <w:rPr>
          <w:rFonts w:ascii="Calibri" w:hAnsi="Calibri" w:eastAsia="Calibri"/>
          <w:b/>
          <w:i w:val="0"/>
          <w:color w:val="222222"/>
          <w:sz w:val="19"/>
        </w:rPr>
        <w:t>Authoritative Standard:</w:t>
      </w:r>
      <w:r>
        <w:rPr>
          <w:rFonts w:ascii="Calibri" w:hAnsi="Calibri" w:eastAsia="Calibri"/>
          <w:b w:val="0"/>
          <w:i w:val="0"/>
          <w:color w:val="222222"/>
          <w:sz w:val="19"/>
        </w:rPr>
        <w:t xml:space="preserve"> Enterprise B2B FinTech Go-To-Market Protocol · QCBS Two-Envelope Banking Procurement (PPR 2008) · MEDDPIC Enterprise Sales Methodology · Bangladesh Bank Regulatory Directives (BRPD 15/2024, IFRS-9 ECL, BFIU e-KYC, ICT Security V4.0)</w:t>
      </w:r>
    </w:p>
    <w:p>
      <w:pPr>
        <w:spacing w:after="80" w:line="276" w:lineRule="auto"/>
      </w:pPr>
      <w:r>
        <w:rPr>
          <w:rFonts w:ascii="Calibri" w:hAnsi="Calibri" w:eastAsia="Calibri"/>
          <w:b/>
          <w:i w:val="0"/>
          <w:color w:val="222222"/>
          <w:sz w:val="19"/>
        </w:rPr>
        <w:t>Classification:</w:t>
      </w:r>
      <w:r>
        <w:rPr>
          <w:rFonts w:ascii="Calibri" w:hAnsi="Calibri" w:eastAsia="Calibri"/>
          <w:b w:val="0"/>
          <w:i w:val="0"/>
          <w:color w:val="222222"/>
          <w:sz w:val="19"/>
        </w:rPr>
        <w:t xml:space="preserve"> Commercial Strategy &amp; Enterprise Revenue Enablement Asset</w:t>
      </w:r>
    </w:p>
    <w:p>
      <w:pPr>
        <w:spacing w:after="80" w:line="276" w:lineRule="auto"/>
      </w:pPr>
      <w:r>
        <w:rPr>
          <w:rFonts w:ascii="Calibri" w:hAnsi="Calibri" w:eastAsia="Calibri"/>
          <w:b/>
          <w:i w:val="0"/>
          <w:color w:val="222222"/>
          <w:sz w:val="19"/>
        </w:rPr>
        <w:t>Release Version:</w:t>
      </w:r>
      <w:r>
        <w:rPr>
          <w:rFonts w:ascii="Calibri" w:hAnsi="Calibri" w:eastAsia="Calibri"/>
          <w:b w:val="0"/>
          <w:i w:val="0"/>
          <w:color w:val="222222"/>
          <w:sz w:val="19"/>
        </w:rPr>
        <w:t xml:space="preserve"> 2.0.0 (Production Build &amp; Commercial Launch Baseline)</w:t>
      </w:r>
    </w:p>
    <w:p>
      <w:pPr>
        <w:spacing w:after="80" w:line="276" w:lineRule="auto"/>
      </w:pPr>
      <w:r>
        <w:rPr>
          <w:rFonts w:ascii="Calibri" w:hAnsi="Calibri" w:eastAsia="Calibri"/>
          <w:b/>
          <w:i w:val="0"/>
          <w:color w:val="222222"/>
          <w:sz w:val="19"/>
        </w:rPr>
        <w:t>Date of Release:</w:t>
      </w:r>
      <w:r>
        <w:rPr>
          <w:rFonts w:ascii="Calibri" w:hAnsi="Calibri" w:eastAsia="Calibri"/>
          <w:b w:val="0"/>
          <w:i w:val="0"/>
          <w:color w:val="222222"/>
          <w:sz w:val="19"/>
        </w:rPr>
        <w:t xml:space="preserve"> October 8, 2026</w:t>
      </w:r>
    </w:p>
    <w:p>
      <w:pPr>
        <w:spacing w:after="80" w:line="276" w:lineRule="auto"/>
      </w:pPr>
      <w:r>
        <w:rPr>
          <w:rFonts w:ascii="Calibri" w:hAnsi="Calibri" w:eastAsia="Calibri"/>
          <w:b/>
          <w:i w:val="0"/>
          <w:color w:val="222222"/>
          <w:sz w:val="19"/>
        </w:rPr>
        <w:t>Target Repository:</w:t>
      </w:r>
      <w:r>
        <w:rPr>
          <w:rFonts w:ascii="Calibri" w:hAnsi="Calibri" w:eastAsia="Calibri"/>
          <w:b w:val="0"/>
          <w:i w:val="0"/>
          <w:color w:val="222222"/>
          <w:sz w:val="19"/>
        </w:rPr>
        <w:t xml:space="preserve"> </w:t>
      </w:r>
      <w:r>
        <w:rPr>
          <w:rFonts w:ascii="Consolas" w:hAnsi="Consolas" w:eastAsia="Consolas"/>
          <w:b w:val="0"/>
          <w:i w:val="0"/>
          <w:color w:val="8B0000"/>
          <w:sz w:val="18"/>
        </w:rPr>
        <w:t>C:\software_project\mim_project\LMS\business_document\</w:t>
      </w:r>
    </w:p>
    <w:p>
      <w:pPr>
        <w:spacing w:after="80" w:line="276" w:lineRule="auto"/>
      </w:pPr>
      <w:r>
        <w:rPr>
          <w:rFonts w:ascii="Calibri" w:hAnsi="Calibri" w:eastAsia="Calibri"/>
          <w:b/>
          <w:i w:val="0"/>
          <w:color w:val="222222"/>
          <w:sz w:val="19"/>
        </w:rPr>
        <w:t>Publisher:</w:t>
      </w:r>
      <w:r>
        <w:rPr>
          <w:rFonts w:ascii="Calibri" w:hAnsi="Calibri" w:eastAsia="Calibri"/>
          <w:b w:val="0"/>
          <w:i w:val="0"/>
          <w:color w:val="222222"/>
          <w:sz w:val="19"/>
        </w:rPr>
        <w:t xml:space="preserve"> Unisoft Systems Limited (A Subsidiary of Smart Technologies BD Ltd)</w:t>
      </w:r>
    </w:p>
    <w:p>
      <w:pPr>
        <w:spacing w:after="80" w:line="276" w:lineRule="auto"/>
      </w:pPr>
      <w:r>
        <w:rPr>
          <w:rFonts w:ascii="Calibri" w:hAnsi="Calibri" w:eastAsia="Calibri"/>
          <w:b/>
          <w:i w:val="0"/>
          <w:color w:val="222222"/>
          <w:sz w:val="19"/>
        </w:rPr>
        <w:t>Corporate Headquarters:</w:t>
      </w:r>
      <w:r>
        <w:rPr>
          <w:rFonts w:ascii="Calibri" w:hAnsi="Calibri" w:eastAsia="Calibri"/>
          <w:b w:val="0"/>
          <w:i w:val="0"/>
          <w:color w:val="222222"/>
          <w:sz w:val="19"/>
        </w:rPr>
        <w:t xml:space="preserve"> Youth Tower, Begum Rokeya Sarani, Dhaka-1216, Bangladesh</w:t>
      </w:r>
    </w:p>
    <w:p>
      <w:pPr>
        <w:pStyle w:val="Heading2"/>
        <w:keepNext/>
      </w:pPr>
      <w:r>
        <w:t>Document Control</w:t>
      </w:r>
    </w:p>
    <w:p>
      <w:pPr>
        <w:keepNext/>
        <w:spacing w:before="160" w:after="40"/>
        <w:jc w:val="center"/>
      </w:pPr>
      <w:r>
        <w:drawing>
          <wp:inline xmlns:a="http://schemas.openxmlformats.org/drawingml/2006/main" xmlns:pic="http://schemas.openxmlformats.org/drawingml/2006/picture">
            <wp:extent cx="5688000" cy="3199500"/>
            <wp:docPr id="1" name="Picture 1" descr="Executive overview dashboard" title="Figure 1: Production UI — Staff Executive Dashboard &amp; Portfolio Health Monitoring"/>
            <wp:cNvGraphicFramePr>
              <a:graphicFrameLocks noChangeAspect="1"/>
            </wp:cNvGraphicFramePr>
            <a:graphic>
              <a:graphicData uri="http://schemas.openxmlformats.org/drawingml/2006/picture">
                <pic:pic>
                  <pic:nvPicPr>
                    <pic:cNvPr id="0" name="s01_home.png"/>
                    <pic:cNvPicPr/>
                  </pic:nvPicPr>
                  <pic:blipFill>
                    <a:blip r:embed="rId11"/>
                    <a:stretch>
                      <a:fillRect/>
                    </a:stretch>
                  </pic:blipFill>
                  <pic:spPr>
                    <a:xfrm>
                      <a:off x="0" y="0"/>
                      <a:ext cx="5688000" cy="3199500"/>
                    </a:xfrm>
                    <a:prstGeom prst="rect"/>
                  </pic:spPr>
                </pic:pic>
              </a:graphicData>
            </a:graphic>
          </wp:inline>
        </w:drawing>
      </w:r>
    </w:p>
    <w:p>
      <w:pPr>
        <w:spacing w:before="40" w:after="160"/>
        <w:jc w:val="center"/>
      </w:pPr>
      <w:r>
        <w:rPr>
          <w:rFonts w:ascii="Calibri" w:hAnsi="Calibri" w:eastAsia="Calibri"/>
          <w:b/>
          <w:i/>
          <w:color w:val="555555"/>
          <w:sz w:val="17"/>
        </w:rPr>
        <w:t>Figure 1: Production UI — Staff Executive Dashboard &amp; Portfolio Health Monitoring</w:t>
      </w:r>
    </w:p>
    <w:tbl>
      <w:tblPr>
        <w:tblStyle w:val="TableGrid"/>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4819"/>
        <w:gridCol w:w="4819"/>
      </w:tblGrid>
      <w:tr>
        <w:trPr>
          <w:tblHeader w:val="true"/>
          <w:cantSplit/>
        </w:trPr>
        <w:tc>
          <w:tcPr>
            <w:tcW w:type="dxa" w:w="2551"/>
            <w:shd w:fill="1E2660"/>
            <w:tcMar>
              <w:top w:w="140" w:type="dxa"/>
              <w:bottom w:w="140" w:type="dxa"/>
              <w:left w:w="180" w:type="dxa"/>
              <w:right w:w="180" w:type="dxa"/>
            </w:tcMar>
          </w:tcPr>
          <w:p>
            <w:pPr>
              <w:spacing w:after="40"/>
            </w:pPr>
            <w:r>
              <w:rPr>
                <w:rFonts w:ascii="Calibri" w:hAnsi="Calibri" w:eastAsia="Calibri"/>
                <w:b/>
                <w:i w:val="0"/>
                <w:color w:val="FFFFFF"/>
                <w:sz w:val="18"/>
              </w:rPr>
              <w:t>Attribute</w:t>
            </w:r>
          </w:p>
        </w:tc>
        <w:tc>
          <w:tcPr>
            <w:tcW w:type="dxa" w:w="7087"/>
            <w:shd w:fill="1E2660"/>
            <w:tcMar>
              <w:top w:w="140" w:type="dxa"/>
              <w:bottom w:w="140" w:type="dxa"/>
              <w:left w:w="180" w:type="dxa"/>
              <w:right w:w="180" w:type="dxa"/>
            </w:tcMar>
          </w:tcPr>
          <w:p>
            <w:pPr>
              <w:spacing w:after="40"/>
            </w:pPr>
            <w:r>
              <w:rPr>
                <w:rFonts w:ascii="Calibri" w:hAnsi="Calibri" w:eastAsia="Calibri"/>
                <w:b/>
                <w:i w:val="0"/>
                <w:color w:val="FFFFFF"/>
                <w:sz w:val="18"/>
              </w:rPr>
              <w:t>Specification</w:t>
            </w:r>
          </w:p>
        </w:tc>
      </w:tr>
      <w:tr>
        <w:trPr>
          <w:cantSplit/>
        </w:trPr>
        <w:tc>
          <w:tcPr>
            <w:tcW w:type="dxa" w:w="2551"/>
            <w:tcMar>
              <w:top w:w="120" w:type="dxa"/>
              <w:bottom w:w="120" w:type="dxa"/>
              <w:left w:w="160" w:type="dxa"/>
              <w:right w:w="160" w:type="dxa"/>
            </w:tcMar>
          </w:tcPr>
          <w:p>
            <w:pPr>
              <w:spacing w:after="40" w:line="276" w:lineRule="auto"/>
            </w:pPr>
            <w:r>
              <w:rPr>
                <w:rFonts w:ascii="Calibri" w:hAnsi="Calibri" w:eastAsia="Calibri"/>
                <w:b/>
                <w:i w:val="0"/>
                <w:color w:val="222222"/>
                <w:sz w:val="18"/>
              </w:rPr>
              <w:t>Document Title</w:t>
            </w:r>
          </w:p>
        </w:tc>
        <w:tc>
          <w:tcPr>
            <w:tcW w:type="dxa" w:w="7087"/>
            <w:tcMar>
              <w:top w:w="120" w:type="dxa"/>
              <w:bottom w:w="120" w:type="dxa"/>
              <w:left w:w="160" w:type="dxa"/>
              <w:right w:w="160" w:type="dxa"/>
            </w:tcMar>
          </w:tcPr>
          <w:p>
            <w:pPr>
              <w:spacing w:after="40" w:line="276" w:lineRule="auto"/>
            </w:pPr>
            <w:r>
              <w:rPr>
                <w:rFonts w:ascii="Calibri" w:hAnsi="Calibri" w:eastAsia="Calibri"/>
                <w:b w:val="0"/>
                <w:i w:val="0"/>
                <w:color w:val="222222"/>
                <w:sz w:val="18"/>
              </w:rPr>
              <w:t>Master Business Documentation Catalog &amp; Sales Enablement Architecture</w:t>
            </w:r>
          </w:p>
        </w:tc>
      </w:tr>
      <w:tr>
        <w:trPr>
          <w:cantSplit/>
        </w:trPr>
        <w:tc>
          <w:tcPr>
            <w:tcW w:type="dxa" w:w="2551"/>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System Name</w:t>
            </w:r>
          </w:p>
        </w:tc>
        <w:tc>
          <w:tcPr>
            <w:tcW w:type="dxa" w:w="7087"/>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Unisoft Loan Management System (ULMS v2.0)</w:t>
            </w:r>
          </w:p>
        </w:tc>
      </w:tr>
      <w:tr>
        <w:trPr>
          <w:cantSplit/>
        </w:trPr>
        <w:tc>
          <w:tcPr>
            <w:tcW w:type="dxa" w:w="2551"/>
            <w:tcMar>
              <w:top w:w="120" w:type="dxa"/>
              <w:bottom w:w="120" w:type="dxa"/>
              <w:left w:w="160" w:type="dxa"/>
              <w:right w:w="160" w:type="dxa"/>
            </w:tcMar>
          </w:tcPr>
          <w:p>
            <w:pPr>
              <w:spacing w:after="40" w:line="276" w:lineRule="auto"/>
            </w:pPr>
            <w:r>
              <w:rPr>
                <w:rFonts w:ascii="Calibri" w:hAnsi="Calibri" w:eastAsia="Calibri"/>
                <w:b/>
                <w:i w:val="0"/>
                <w:color w:val="222222"/>
                <w:sz w:val="18"/>
              </w:rPr>
              <w:t>Document ID</w:t>
            </w:r>
          </w:p>
        </w:tc>
        <w:tc>
          <w:tcPr>
            <w:tcW w:type="dxa" w:w="7087"/>
            <w:tcMar>
              <w:top w:w="120" w:type="dxa"/>
              <w:bottom w:w="120" w:type="dxa"/>
              <w:left w:w="160" w:type="dxa"/>
              <w:right w:w="160" w:type="dxa"/>
            </w:tcMar>
          </w:tcPr>
          <w:p>
            <w:pPr>
              <w:spacing w:after="40" w:line="276" w:lineRule="auto"/>
            </w:pPr>
            <w:r>
              <w:rPr>
                <w:rFonts w:ascii="Calibri" w:hAnsi="Calibri" w:eastAsia="Calibri"/>
                <w:b w:val="0"/>
                <w:i w:val="0"/>
                <w:color w:val="222222"/>
                <w:sz w:val="18"/>
              </w:rPr>
              <w:t>DOC-BUS-CAT-001</w:t>
            </w:r>
          </w:p>
        </w:tc>
      </w:tr>
      <w:tr>
        <w:trPr>
          <w:cantSplit/>
        </w:trPr>
        <w:tc>
          <w:tcPr>
            <w:tcW w:type="dxa" w:w="2551"/>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Release Version</w:t>
            </w:r>
          </w:p>
        </w:tc>
        <w:tc>
          <w:tcPr>
            <w:tcW w:type="dxa" w:w="7087"/>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2.0.0 (Commercial Go-To-Market &amp; Banking Sales Expansion Baseline)</w:t>
            </w:r>
          </w:p>
        </w:tc>
      </w:tr>
      <w:tr>
        <w:trPr>
          <w:cantSplit/>
        </w:trPr>
        <w:tc>
          <w:tcPr>
            <w:tcW w:type="dxa" w:w="2551"/>
            <w:tcMar>
              <w:top w:w="120" w:type="dxa"/>
              <w:bottom w:w="120" w:type="dxa"/>
              <w:left w:w="160" w:type="dxa"/>
              <w:right w:w="160" w:type="dxa"/>
            </w:tcMar>
          </w:tcPr>
          <w:p>
            <w:pPr>
              <w:spacing w:after="40" w:line="276" w:lineRule="auto"/>
            </w:pPr>
            <w:r>
              <w:rPr>
                <w:rFonts w:ascii="Calibri" w:hAnsi="Calibri" w:eastAsia="Calibri"/>
                <w:b/>
                <w:i w:val="0"/>
                <w:color w:val="222222"/>
                <w:sz w:val="18"/>
              </w:rPr>
              <w:t>Document Classification</w:t>
            </w:r>
          </w:p>
        </w:tc>
        <w:tc>
          <w:tcPr>
            <w:tcW w:type="dxa" w:w="7087"/>
            <w:tcMar>
              <w:top w:w="120" w:type="dxa"/>
              <w:bottom w:w="120" w:type="dxa"/>
              <w:left w:w="160" w:type="dxa"/>
              <w:right w:w="160" w:type="dxa"/>
            </w:tcMar>
          </w:tcPr>
          <w:p>
            <w:pPr>
              <w:spacing w:after="40" w:line="276" w:lineRule="auto"/>
            </w:pPr>
            <w:r>
              <w:rPr>
                <w:rFonts w:ascii="Calibri" w:hAnsi="Calibri" w:eastAsia="Calibri"/>
                <w:b w:val="0"/>
                <w:i w:val="0"/>
                <w:color w:val="222222"/>
                <w:sz w:val="18"/>
              </w:rPr>
              <w:t>Commercial Confidential / Revenue Strategy Asset</w:t>
            </w:r>
          </w:p>
        </w:tc>
      </w:tr>
      <w:tr>
        <w:trPr>
          <w:cantSplit/>
        </w:trPr>
        <w:tc>
          <w:tcPr>
            <w:tcW w:type="dxa" w:w="2551"/>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Document Status</w:t>
            </w:r>
          </w:p>
        </w:tc>
        <w:tc>
          <w:tcPr>
            <w:tcW w:type="dxa" w:w="7087"/>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Approved Master Specification &amp; Go-To-Market Catalog</w:t>
            </w:r>
          </w:p>
        </w:tc>
      </w:tr>
      <w:tr>
        <w:trPr>
          <w:cantSplit/>
        </w:trPr>
        <w:tc>
          <w:tcPr>
            <w:tcW w:type="dxa" w:w="2551"/>
            <w:tcMar>
              <w:top w:w="120" w:type="dxa"/>
              <w:bottom w:w="120" w:type="dxa"/>
              <w:left w:w="160" w:type="dxa"/>
              <w:right w:w="160" w:type="dxa"/>
            </w:tcMar>
          </w:tcPr>
          <w:p>
            <w:pPr>
              <w:spacing w:after="40" w:line="276" w:lineRule="auto"/>
            </w:pPr>
            <w:r>
              <w:rPr>
                <w:rFonts w:ascii="Calibri" w:hAnsi="Calibri" w:eastAsia="Calibri"/>
                <w:b/>
                <w:i w:val="0"/>
                <w:color w:val="222222"/>
                <w:sz w:val="18"/>
              </w:rPr>
              <w:t>Prepared By</w:t>
            </w:r>
          </w:p>
        </w:tc>
        <w:tc>
          <w:tcPr>
            <w:tcW w:type="dxa" w:w="7087"/>
            <w:tcMar>
              <w:top w:w="120" w:type="dxa"/>
              <w:bottom w:w="120" w:type="dxa"/>
              <w:left w:w="160" w:type="dxa"/>
              <w:right w:w="160" w:type="dxa"/>
            </w:tcMar>
          </w:tcPr>
          <w:p>
            <w:pPr>
              <w:spacing w:after="40" w:line="276" w:lineRule="auto"/>
            </w:pPr>
            <w:r>
              <w:rPr>
                <w:rFonts w:ascii="Calibri" w:hAnsi="Calibri" w:eastAsia="Calibri"/>
                <w:b w:val="0"/>
                <w:i w:val="0"/>
                <w:color w:val="222222"/>
                <w:sz w:val="18"/>
              </w:rPr>
              <w:t>Principal Enterprise Solution Architect, Head of Business Development &amp; Lead Technical Writer</w:t>
            </w:r>
          </w:p>
        </w:tc>
      </w:tr>
      <w:tr>
        <w:trPr>
          <w:cantSplit/>
        </w:trPr>
        <w:tc>
          <w:tcPr>
            <w:tcW w:type="dxa" w:w="2551"/>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Reviewed By</w:t>
            </w:r>
          </w:p>
        </w:tc>
        <w:tc>
          <w:tcPr>
            <w:tcW w:type="dxa" w:w="7087"/>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Chief Commercial Officer (CCO), Head of Banking Solutions &amp; Chief Technology Officer (CTO)</w:t>
            </w:r>
          </w:p>
        </w:tc>
      </w:tr>
      <w:tr>
        <w:trPr>
          <w:cantSplit/>
        </w:trPr>
        <w:tc>
          <w:tcPr>
            <w:tcW w:type="dxa" w:w="2551"/>
            <w:tcMar>
              <w:top w:w="120" w:type="dxa"/>
              <w:bottom w:w="120" w:type="dxa"/>
              <w:left w:w="160" w:type="dxa"/>
              <w:right w:w="160" w:type="dxa"/>
            </w:tcMar>
          </w:tcPr>
          <w:p>
            <w:pPr>
              <w:spacing w:after="40" w:line="276" w:lineRule="auto"/>
            </w:pPr>
            <w:r>
              <w:rPr>
                <w:rFonts w:ascii="Calibri" w:hAnsi="Calibri" w:eastAsia="Calibri"/>
                <w:b/>
                <w:i w:val="0"/>
                <w:color w:val="222222"/>
                <w:sz w:val="18"/>
              </w:rPr>
              <w:t>Approved By</w:t>
            </w:r>
          </w:p>
        </w:tc>
        <w:tc>
          <w:tcPr>
            <w:tcW w:type="dxa" w:w="7087"/>
            <w:tcMar>
              <w:top w:w="120" w:type="dxa"/>
              <w:bottom w:w="120" w:type="dxa"/>
              <w:left w:w="160" w:type="dxa"/>
              <w:right w:w="160" w:type="dxa"/>
            </w:tcMar>
          </w:tcPr>
          <w:p>
            <w:pPr>
              <w:spacing w:after="40" w:line="276" w:lineRule="auto"/>
            </w:pPr>
            <w:r>
              <w:rPr>
                <w:rFonts w:ascii="Calibri" w:hAnsi="Calibri" w:eastAsia="Calibri"/>
                <w:b w:val="0"/>
                <w:i w:val="0"/>
                <w:color w:val="222222"/>
                <w:sz w:val="18"/>
              </w:rPr>
              <w:t>Managing Director, Unisoft Systems Limited</w:t>
            </w:r>
          </w:p>
        </w:tc>
      </w:tr>
      <w:tr>
        <w:trPr>
          <w:cantSplit/>
        </w:trPr>
        <w:tc>
          <w:tcPr>
            <w:tcW w:type="dxa" w:w="2551"/>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Target Audience</w:t>
            </w:r>
          </w:p>
        </w:tc>
        <w:tc>
          <w:tcPr>
            <w:tcW w:type="dxa" w:w="7087"/>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Enterprise Sales Directors, Account Executives, Pre-Sales Solution Architects, Bid &amp; Tender Managers, Product Marketers, Bank Executive Buying Committees</w:t>
            </w:r>
          </w:p>
        </w:tc>
      </w:tr>
      <w:tr>
        <w:trPr>
          <w:cantSplit/>
        </w:trPr>
        <w:tc>
          <w:tcPr>
            <w:tcW w:type="dxa" w:w="2551"/>
            <w:tcMar>
              <w:top w:w="120" w:type="dxa"/>
              <w:bottom w:w="120" w:type="dxa"/>
              <w:left w:w="160" w:type="dxa"/>
              <w:right w:w="160" w:type="dxa"/>
            </w:tcMar>
          </w:tcPr>
          <w:p>
            <w:pPr>
              <w:spacing w:after="40" w:line="276" w:lineRule="auto"/>
            </w:pPr>
            <w:r>
              <w:rPr>
                <w:rFonts w:ascii="Calibri" w:hAnsi="Calibri" w:eastAsia="Calibri"/>
                <w:b/>
                <w:i w:val="0"/>
                <w:color w:val="222222"/>
                <w:sz w:val="18"/>
              </w:rPr>
              <w:t>Authority Order</w:t>
            </w:r>
          </w:p>
        </w:tc>
        <w:tc>
          <w:tcPr>
            <w:tcW w:type="dxa" w:w="7087"/>
            <w:tcMar>
              <w:top w:w="120" w:type="dxa"/>
              <w:bottom w:w="120" w:type="dxa"/>
              <w:left w:w="160" w:type="dxa"/>
              <w:right w:w="160" w:type="dxa"/>
            </w:tcMar>
          </w:tcPr>
          <w:p>
            <w:pPr>
              <w:spacing w:after="40" w:line="276" w:lineRule="auto"/>
            </w:pPr>
            <w:r>
              <w:rPr>
                <w:rFonts w:ascii="Consolas" w:hAnsi="Consolas" w:eastAsia="Consolas"/>
                <w:b w:val="0"/>
                <w:i w:val="0"/>
                <w:color w:val="8B0000"/>
                <w:sz w:val="17"/>
              </w:rPr>
              <w:t>Compliance_Validation_Matrix.md</w:t>
            </w:r>
            <w:r>
              <w:rPr>
                <w:rFonts w:ascii="Calibri" w:hAnsi="Calibri" w:eastAsia="Calibri"/>
                <w:b w:val="0"/>
                <w:i w:val="0"/>
                <w:color w:val="222222"/>
                <w:sz w:val="18"/>
              </w:rPr>
              <w:t xml:space="preserve"> → </w:t>
            </w:r>
            <w:r>
              <w:rPr>
                <w:rFonts w:ascii="Consolas" w:hAnsi="Consolas" w:eastAsia="Consolas"/>
                <w:b w:val="0"/>
                <w:i w:val="0"/>
                <w:color w:val="8B0000"/>
                <w:sz w:val="17"/>
              </w:rPr>
              <w:t>Software_Requirements_Specification.md</w:t>
            </w:r>
            <w:r>
              <w:rPr>
                <w:rFonts w:ascii="Calibri" w:hAnsi="Calibri" w:eastAsia="Calibri"/>
                <w:b w:val="0"/>
                <w:i w:val="0"/>
                <w:color w:val="222222"/>
                <w:sz w:val="18"/>
              </w:rPr>
              <w:t xml:space="preserve"> → </w:t>
            </w:r>
            <w:r>
              <w:rPr>
                <w:rFonts w:ascii="Consolas" w:hAnsi="Consolas" w:eastAsia="Consolas"/>
                <w:b w:val="0"/>
                <w:i w:val="0"/>
                <w:color w:val="8B0000"/>
                <w:sz w:val="17"/>
              </w:rPr>
              <w:t>Business_Requirements_Document_LMS.md</w:t>
            </w:r>
            <w:r>
              <w:rPr>
                <w:rFonts w:ascii="Calibri" w:hAnsi="Calibri" w:eastAsia="Calibri"/>
                <w:b w:val="0"/>
                <w:i w:val="0"/>
                <w:color w:val="222222"/>
                <w:sz w:val="18"/>
              </w:rPr>
              <w:t xml:space="preserve"> → </w:t>
            </w:r>
            <w:r>
              <w:rPr>
                <w:rFonts w:ascii="Consolas" w:hAnsi="Consolas" w:eastAsia="Consolas"/>
                <w:b w:val="0"/>
                <w:i w:val="0"/>
                <w:color w:val="8B0000"/>
                <w:sz w:val="17"/>
              </w:rPr>
              <w:t>LMS_CODEBASE/PLANNING/</w:t>
            </w:r>
            <w:r>
              <w:rPr>
                <w:rFonts w:ascii="Calibri" w:hAnsi="Calibri" w:eastAsia="Calibri"/>
                <w:b w:val="0"/>
                <w:i w:val="0"/>
                <w:color w:val="222222"/>
                <w:sz w:val="18"/>
              </w:rPr>
              <w:t xml:space="preserve"> → </w:t>
            </w:r>
            <w:r>
              <w:rPr>
                <w:rFonts w:ascii="Consolas" w:hAnsi="Consolas" w:eastAsia="Consolas"/>
                <w:b w:val="0"/>
                <w:i w:val="0"/>
                <w:color w:val="8B0000"/>
                <w:sz w:val="17"/>
              </w:rPr>
              <w:t>MASTER_TECHNICAL_DOCUMENTATION_CATALOG.md</w:t>
            </w:r>
            <w:r>
              <w:rPr>
                <w:rFonts w:ascii="Calibri" w:hAnsi="Calibri" w:eastAsia="Calibri"/>
                <w:b w:val="0"/>
                <w:i w:val="0"/>
                <w:color w:val="222222"/>
                <w:sz w:val="18"/>
              </w:rPr>
              <w:t xml:space="preserve"> → </w:t>
            </w:r>
            <w:r>
              <w:rPr>
                <w:rFonts w:ascii="Consolas" w:hAnsi="Consolas" w:eastAsia="Consolas"/>
                <w:b w:val="0"/>
                <w:i w:val="0"/>
                <w:color w:val="8B0000"/>
                <w:sz w:val="17"/>
              </w:rPr>
              <w:t>MASTER_BUSINESS_DOCUMENTATION_CATALOG.md</w:t>
            </w:r>
          </w:p>
        </w:tc>
      </w:tr>
    </w:tbl>
    <w:p>
      <w:pPr>
        <w:spacing w:after="80"/>
      </w:pPr>
    </w:p>
    <w:p>
      <w:pPr>
        <w:pStyle w:val="Heading2"/>
        <w:keepNext/>
      </w:pPr>
      <w:r>
        <w:t>1. Executive Summary &amp; Market Opportunity</w:t>
      </w:r>
    </w:p>
    <w:p>
      <w:pPr>
        <w:keepNext/>
        <w:spacing w:before="160" w:after="40"/>
        <w:jc w:val="center"/>
      </w:pPr>
      <w:r>
        <w:drawing>
          <wp:inline xmlns:a="http://schemas.openxmlformats.org/drawingml/2006/main" xmlns:pic="http://schemas.openxmlformats.org/drawingml/2006/picture">
            <wp:extent cx="5688000" cy="3199500"/>
            <wp:docPr id="2" name="Picture 2" descr="Origination pipeline screen" title="Figure 2: Production UI — End-to-End Loan Origination Pipeline"/>
            <wp:cNvGraphicFramePr>
              <a:graphicFrameLocks noChangeAspect="1"/>
            </wp:cNvGraphicFramePr>
            <a:graphic>
              <a:graphicData uri="http://schemas.openxmlformats.org/drawingml/2006/picture">
                <pic:pic>
                  <pic:nvPicPr>
                    <pic:cNvPr id="0" name="s02_pipeline.png"/>
                    <pic:cNvPicPr/>
                  </pic:nvPicPr>
                  <pic:blipFill>
                    <a:blip r:embed="rId12"/>
                    <a:stretch>
                      <a:fillRect/>
                    </a:stretch>
                  </pic:blipFill>
                  <pic:spPr>
                    <a:xfrm>
                      <a:off x="0" y="0"/>
                      <a:ext cx="5688000" cy="3199500"/>
                    </a:xfrm>
                    <a:prstGeom prst="rect"/>
                  </pic:spPr>
                </pic:pic>
              </a:graphicData>
            </a:graphic>
          </wp:inline>
        </w:drawing>
      </w:r>
    </w:p>
    <w:p>
      <w:pPr>
        <w:spacing w:before="40" w:after="160"/>
        <w:jc w:val="center"/>
      </w:pPr>
      <w:r>
        <w:rPr>
          <w:rFonts w:ascii="Calibri" w:hAnsi="Calibri" w:eastAsia="Calibri"/>
          <w:b/>
          <w:i/>
          <w:color w:val="555555"/>
          <w:sz w:val="17"/>
        </w:rPr>
        <w:t>Figure 2: Production UI — End-to-End Loan Origination Pipeline</w:t>
      </w:r>
    </w:p>
    <w:p>
      <w:pPr>
        <w:pStyle w:val="Heading3"/>
        <w:keepNext/>
      </w:pPr>
      <w:r>
        <w:t>1.1 The Macro Banking Context in Bangladesh</w:t>
      </w:r>
    </w:p>
    <w:p>
      <w:pPr>
        <w:spacing w:after="80" w:line="276" w:lineRule="auto"/>
      </w:pPr>
      <w:r>
        <w:rPr>
          <w:rFonts w:ascii="Calibri" w:hAnsi="Calibri" w:eastAsia="Calibri"/>
          <w:b w:val="0"/>
          <w:i w:val="0"/>
          <w:color w:val="222222"/>
          <w:sz w:val="19"/>
        </w:rPr>
        <w:t xml:space="preserve">The banking sector in Bangladesh stands at an unprecedented digital crossroads. Comprising </w:t>
      </w:r>
      <w:r>
        <w:rPr>
          <w:rFonts w:ascii="Calibri" w:hAnsi="Calibri" w:eastAsia="Calibri"/>
          <w:b/>
          <w:i w:val="0"/>
          <w:color w:val="222222"/>
          <w:sz w:val="19"/>
        </w:rPr>
        <w:t>62 scheduled commercial banks</w:t>
      </w:r>
      <w:r>
        <w:rPr>
          <w:rFonts w:ascii="Calibri" w:hAnsi="Calibri" w:eastAsia="Calibri"/>
          <w:b w:val="0"/>
          <w:i w:val="0"/>
          <w:color w:val="222222"/>
          <w:sz w:val="19"/>
        </w:rPr>
        <w:t xml:space="preserve">, over </w:t>
      </w:r>
      <w:r>
        <w:rPr>
          <w:rFonts w:ascii="Calibri" w:hAnsi="Calibri" w:eastAsia="Calibri"/>
          <w:b/>
          <w:i w:val="0"/>
          <w:color w:val="222222"/>
          <w:sz w:val="19"/>
        </w:rPr>
        <w:t>35 licensed Non-Bank Financial Institutions (NBFIs)</w:t>
      </w:r>
      <w:r>
        <w:rPr>
          <w:rFonts w:ascii="Calibri" w:hAnsi="Calibri" w:eastAsia="Calibri"/>
          <w:b w:val="0"/>
          <w:i w:val="0"/>
          <w:color w:val="222222"/>
          <w:sz w:val="19"/>
        </w:rPr>
        <w:t xml:space="preserve">, and an expansive microfinance ecosystem, the sector manages an aggregate credit portfolio exceeding </w:t>
      </w:r>
      <w:r>
        <w:rPr>
          <w:rFonts w:ascii="Calibri" w:hAnsi="Calibri" w:eastAsia="Calibri"/>
          <w:b/>
          <w:i w:val="0"/>
          <w:color w:val="222222"/>
          <w:sz w:val="19"/>
        </w:rPr>
        <w:t>BDT 16.5 Lakh Crore (USD ~140 Billion)</w:t>
      </w:r>
      <w:r>
        <w:rPr>
          <w:rFonts w:ascii="Calibri" w:hAnsi="Calibri" w:eastAsia="Calibri"/>
          <w:b w:val="0"/>
          <w:i w:val="0"/>
          <w:color w:val="222222"/>
          <w:sz w:val="19"/>
        </w:rPr>
        <w:t>.</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638"/>
      </w:tblGrid>
      <w:tr>
        <w:tc>
          <w:tcPr>
            <w:tcW w:type="dxa" w:w="9638"/>
            <w:shd w:fill="F6F8FA"/>
            <w:tcMar>
              <w:top w:w="120" w:type="dxa"/>
              <w:bottom w:w="120" w:type="dxa"/>
              <w:left w:w="160" w:type="dxa"/>
              <w:right w:w="160" w:type="dxa"/>
            </w:tcMar>
          </w:tcPr>
          <w:p>
            <w:pPr>
              <w:spacing w:after="20" w:line="252" w:lineRule="auto"/>
            </w:pPr>
            <w:r>
              <w:rPr>
                <w:rFonts w:ascii="Consolas" w:hAnsi="Consolas" w:eastAsia="Consolas"/>
                <w:b w:val="0"/>
                <w:i w:val="0"/>
                <w:color w:val="222222"/>
                <w:sz w:val="17"/>
              </w:rPr>
              <w:t>┌─────────────────────────────────────────────────────────────────────────────┐</w:t>
            </w:r>
          </w:p>
          <w:p>
            <w:pPr>
              <w:spacing w:after="20" w:line="252" w:lineRule="auto"/>
            </w:pPr>
            <w:r>
              <w:rPr>
                <w:rFonts w:ascii="Consolas" w:hAnsi="Consolas" w:eastAsia="Consolas"/>
                <w:b w:val="0"/>
                <w:i w:val="0"/>
                <w:color w:val="222222"/>
                <w:sz w:val="17"/>
              </w:rPr>
              <w:t>│                 BANGLADESH SCHEDULED BANKING SECTOR AT A GLANCE             │</w:t>
            </w:r>
          </w:p>
          <w:p>
            <w:pPr>
              <w:spacing w:after="20" w:line="252" w:lineRule="auto"/>
            </w:pPr>
            <w:r>
              <w:rPr>
                <w:rFonts w:ascii="Consolas" w:hAnsi="Consolas" w:eastAsia="Consolas"/>
                <w:b w:val="0"/>
                <w:i w:val="0"/>
                <w:color w:val="222222"/>
                <w:sz w:val="17"/>
              </w:rPr>
              <w:t>├─────────────────────────────────────┬───────┬───────────────────────────────┤</w:t>
            </w:r>
          </w:p>
          <w:p>
            <w:pPr>
              <w:spacing w:after="20" w:line="252" w:lineRule="auto"/>
            </w:pPr>
            <w:r>
              <w:rPr>
                <w:rFonts w:ascii="Consolas" w:hAnsi="Consolas" w:eastAsia="Consolas"/>
                <w:b w:val="0"/>
                <w:i w:val="0"/>
                <w:color w:val="222222"/>
                <w:sz w:val="17"/>
              </w:rPr>
              <w:t>│ Institutional Category              │ Count │ Representative Institutions   │</w:t>
            </w:r>
          </w:p>
          <w:p>
            <w:pPr>
              <w:spacing w:after="20" w:line="252" w:lineRule="auto"/>
            </w:pPr>
            <w:r>
              <w:rPr>
                <w:rFonts w:ascii="Consolas" w:hAnsi="Consolas" w:eastAsia="Consolas"/>
                <w:b w:val="0"/>
                <w:i w:val="0"/>
                <w:color w:val="222222"/>
                <w:sz w:val="17"/>
              </w:rPr>
              <w:t>├─────────────────────────────────────┼───────┼───────────────────────────────┤</w:t>
            </w:r>
          </w:p>
          <w:p>
            <w:pPr>
              <w:spacing w:after="20" w:line="252" w:lineRule="auto"/>
            </w:pPr>
            <w:r>
              <w:rPr>
                <w:rFonts w:ascii="Consolas" w:hAnsi="Consolas" w:eastAsia="Consolas"/>
                <w:b w:val="0"/>
                <w:i w:val="0"/>
                <w:color w:val="222222"/>
                <w:sz w:val="17"/>
              </w:rPr>
              <w:t>│ Private Commercial Banks (Conventional)│  33   │ BRAC, City, DBBL, EBL, Bank Asia│</w:t>
            </w:r>
          </w:p>
          <w:p>
            <w:pPr>
              <w:spacing w:after="20" w:line="252" w:lineRule="auto"/>
            </w:pPr>
            <w:r>
              <w:rPr>
                <w:rFonts w:ascii="Consolas" w:hAnsi="Consolas" w:eastAsia="Consolas"/>
                <w:b w:val="0"/>
                <w:i w:val="0"/>
                <w:color w:val="222222"/>
                <w:sz w:val="17"/>
              </w:rPr>
              <w:t>│ Private Commercial Banks (Islamic)  │  10   │ Islami Bank, Al-Arafah, EXIM  │</w:t>
            </w:r>
          </w:p>
          <w:p>
            <w:pPr>
              <w:spacing w:after="20" w:line="252" w:lineRule="auto"/>
            </w:pPr>
            <w:r>
              <w:rPr>
                <w:rFonts w:ascii="Consolas" w:hAnsi="Consolas" w:eastAsia="Consolas"/>
                <w:b w:val="0"/>
                <w:i w:val="0"/>
                <w:color w:val="222222"/>
                <w:sz w:val="17"/>
              </w:rPr>
              <w:t>│ State-Owned Commercial Banks (SOCBs)│   6   │ Sonali, Janata, Agrani, Rupali│</w:t>
            </w:r>
          </w:p>
          <w:p>
            <w:pPr>
              <w:spacing w:after="20" w:line="252" w:lineRule="auto"/>
            </w:pPr>
            <w:r>
              <w:rPr>
                <w:rFonts w:ascii="Consolas" w:hAnsi="Consolas" w:eastAsia="Consolas"/>
                <w:b w:val="0"/>
                <w:i w:val="0"/>
                <w:color w:val="222222"/>
                <w:sz w:val="17"/>
              </w:rPr>
              <w:t>│ Specialized Development Banks (SDBs)│   3   │ Krishi Bank, RAKUB, PKB       │</w:t>
            </w:r>
          </w:p>
          <w:p>
            <w:pPr>
              <w:spacing w:after="20" w:line="252" w:lineRule="auto"/>
            </w:pPr>
            <w:r>
              <w:rPr>
                <w:rFonts w:ascii="Consolas" w:hAnsi="Consolas" w:eastAsia="Consolas"/>
                <w:b w:val="0"/>
                <w:i w:val="0"/>
                <w:color w:val="222222"/>
                <w:sz w:val="17"/>
              </w:rPr>
              <w:t>│ Foreign Commercial Banks (FCBs)     │   9   │ Standard Chartered, HSBC, Citi│</w:t>
            </w:r>
          </w:p>
          <w:p>
            <w:pPr>
              <w:spacing w:after="20" w:line="252" w:lineRule="auto"/>
            </w:pPr>
            <w:r>
              <w:rPr>
                <w:rFonts w:ascii="Consolas" w:hAnsi="Consolas" w:eastAsia="Consolas"/>
                <w:b w:val="0"/>
                <w:i w:val="0"/>
                <w:color w:val="222222"/>
                <w:sz w:val="17"/>
              </w:rPr>
              <w:t>├─────────────────────────────────────┼───────┼───────────────────────────────┤</w:t>
            </w:r>
          </w:p>
          <w:p>
            <w:pPr>
              <w:spacing w:after="20" w:line="252" w:lineRule="auto"/>
            </w:pPr>
            <w:r>
              <w:rPr>
                <w:rFonts w:ascii="Consolas" w:hAnsi="Consolas" w:eastAsia="Consolas"/>
                <w:b w:val="0"/>
                <w:i w:val="0"/>
                <w:color w:val="222222"/>
                <w:sz w:val="17"/>
              </w:rPr>
              <w:t>│ Total Scheduled Commercial Banks    │  62   │ Primary Target Market         │</w:t>
            </w:r>
          </w:p>
          <w:p>
            <w:pPr>
              <w:spacing w:after="20" w:line="252" w:lineRule="auto"/>
            </w:pPr>
            <w:r>
              <w:rPr>
                <w:rFonts w:ascii="Consolas" w:hAnsi="Consolas" w:eastAsia="Consolas"/>
                <w:b w:val="0"/>
                <w:i w:val="0"/>
                <w:color w:val="222222"/>
                <w:sz w:val="17"/>
              </w:rPr>
              <w:t>└─────────────────────────────────────┴───────┴───────────────────────────────┘</w:t>
            </w:r>
          </w:p>
        </w:tc>
      </w:tr>
    </w:tbl>
    <w:p>
      <w:pPr>
        <w:spacing w:after="80"/>
      </w:pPr>
    </w:p>
    <w:p>
      <w:pPr>
        <w:spacing w:after="80" w:line="276" w:lineRule="auto"/>
      </w:pPr>
      <w:r>
        <w:rPr>
          <w:rFonts w:ascii="Calibri" w:hAnsi="Calibri" w:eastAsia="Calibri"/>
          <w:b w:val="0"/>
          <w:i w:val="0"/>
          <w:color w:val="222222"/>
          <w:sz w:val="19"/>
        </w:rPr>
        <w:t>Despite rapid customer digitization, loan origination and lifecycle servicing across most domestic banks remain heavily encumbered by manual documentation, disconnected spreadsheets, physical Branch Officers Credit Committee (BOCC) dossiers, and disjointed legacy Core Banking Systems (CBS). This has contributed to critical operational vulnerabilities:</w:t>
      </w:r>
    </w:p>
    <w:p>
      <w:pPr>
        <w:pStyle w:val="ListNumber"/>
        <w:spacing w:after="40" w:line="276" w:lineRule="auto"/>
      </w:pPr>
      <w:r>
        <w:rPr>
          <w:rFonts w:ascii="Calibri" w:hAnsi="Calibri" w:eastAsia="Calibri"/>
          <w:b/>
          <w:i w:val="0"/>
          <w:color w:val="222222"/>
          <w:sz w:val="19"/>
        </w:rPr>
        <w:t>Prolonged Turnaround Times (TAT):</w:t>
      </w:r>
      <w:r>
        <w:rPr>
          <w:rFonts w:ascii="Calibri" w:hAnsi="Calibri" w:eastAsia="Calibri"/>
          <w:b w:val="0"/>
          <w:i w:val="0"/>
          <w:color w:val="222222"/>
          <w:sz w:val="19"/>
        </w:rPr>
        <w:t xml:space="preserve"> Average retail loan processing requires 14–21 business days; SME and commercial loans often exceed 45 days.</w:t>
      </w:r>
    </w:p>
    <w:p>
      <w:pPr>
        <w:pStyle w:val="ListNumber"/>
        <w:spacing w:after="40" w:line="276" w:lineRule="auto"/>
      </w:pPr>
      <w:r>
        <w:rPr>
          <w:rFonts w:ascii="Calibri" w:hAnsi="Calibri" w:eastAsia="Calibri"/>
          <w:b/>
          <w:i w:val="0"/>
          <w:color w:val="222222"/>
          <w:sz w:val="19"/>
        </w:rPr>
        <w:t>Mounting Non-Performing Loans (NPLs):</w:t>
      </w:r>
      <w:r>
        <w:rPr>
          <w:rFonts w:ascii="Calibri" w:hAnsi="Calibri" w:eastAsia="Calibri"/>
          <w:b w:val="0"/>
          <w:i w:val="0"/>
          <w:color w:val="222222"/>
          <w:sz w:val="19"/>
        </w:rPr>
        <w:t xml:space="preserve"> Total gross non-performing loans in the banking system reached an alarming 12.5% in 2025/2026, driven by weak pre-sanction early-warning screening and disjointed credit bureau inquiries.</w:t>
      </w:r>
    </w:p>
    <w:p>
      <w:pPr>
        <w:pStyle w:val="ListNumber"/>
        <w:spacing w:after="40" w:line="276" w:lineRule="auto"/>
      </w:pPr>
      <w:r>
        <w:rPr>
          <w:rFonts w:ascii="Calibri" w:hAnsi="Calibri" w:eastAsia="Calibri"/>
          <w:b/>
          <w:i w:val="0"/>
          <w:color w:val="222222"/>
          <w:sz w:val="19"/>
        </w:rPr>
        <w:t>Severe Regulatory Penalties:</w:t>
      </w:r>
      <w:r>
        <w:rPr>
          <w:rFonts w:ascii="Calibri" w:hAnsi="Calibri" w:eastAsia="Calibri"/>
          <w:b w:val="0"/>
          <w:i w:val="0"/>
          <w:color w:val="222222"/>
          <w:sz w:val="19"/>
        </w:rPr>
        <w:t xml:space="preserve"> Bangladesh Bank has tightened supervision with mandatory directives, notably </w:t>
      </w:r>
      <w:r>
        <w:rPr>
          <w:rFonts w:ascii="Calibri" w:hAnsi="Calibri" w:eastAsia="Calibri"/>
          <w:b/>
          <w:i w:val="0"/>
          <w:color w:val="222222"/>
          <w:sz w:val="19"/>
        </w:rPr>
        <w:t>BRPD Circular 15/2024</w:t>
      </w:r>
      <w:r>
        <w:rPr>
          <w:rFonts w:ascii="Calibri" w:hAnsi="Calibri" w:eastAsia="Calibri"/>
          <w:b w:val="0"/>
          <w:i w:val="0"/>
          <w:color w:val="222222"/>
          <w:sz w:val="19"/>
        </w:rPr>
        <w:t xml:space="preserve"> (enforcing a strict 7-stage classification framework from STD-0 to Bad/Loss) and the impending deadline of </w:t>
      </w:r>
      <w:r>
        <w:rPr>
          <w:rFonts w:ascii="Calibri" w:hAnsi="Calibri" w:eastAsia="Calibri"/>
          <w:b/>
          <w:i w:val="0"/>
          <w:color w:val="222222"/>
          <w:sz w:val="19"/>
        </w:rPr>
        <w:t>December 31, 2027 for mandatory IFRS-9 Expected Credit Loss (ECL)</w:t>
      </w:r>
      <w:r>
        <w:rPr>
          <w:rFonts w:ascii="Calibri" w:hAnsi="Calibri" w:eastAsia="Calibri"/>
          <w:b w:val="0"/>
          <w:i w:val="0"/>
          <w:color w:val="222222"/>
          <w:sz w:val="19"/>
        </w:rPr>
        <w:t xml:space="preserve"> forward-looking provisioning.</w:t>
      </w:r>
    </w:p>
    <w:p>
      <w:pPr>
        <w:pStyle w:val="ListNumber"/>
        <w:spacing w:after="40" w:line="276" w:lineRule="auto"/>
      </w:pPr>
      <w:r>
        <w:rPr>
          <w:rFonts w:ascii="Calibri" w:hAnsi="Calibri" w:eastAsia="Calibri"/>
          <w:b/>
          <w:i w:val="0"/>
          <w:color w:val="222222"/>
          <w:sz w:val="19"/>
        </w:rPr>
        <w:t>Exorbitant Foreign Software Costs:</w:t>
      </w:r>
      <w:r>
        <w:rPr>
          <w:rFonts w:ascii="Calibri" w:hAnsi="Calibri" w:eastAsia="Calibri"/>
          <w:b w:val="0"/>
          <w:i w:val="0"/>
          <w:color w:val="222222"/>
          <w:sz w:val="19"/>
        </w:rPr>
        <w:t xml:space="preserve"> Legacy multinational LMS solutions (such as Finastra Fusion Loan IQ, Temenos LMS, Nucleus Software FinnOne Neo, and Infosys Finacle Lending) impose exorbitant capital expenditure ($3M–$7M USD), recurring dollar-denominated license drains, multi-year implementation cycles, and inadequate local support in Dhaka.</w:t>
      </w:r>
    </w:p>
    <w:p>
      <w:pPr>
        <w:pStyle w:val="Heading3"/>
        <w:keepNext/>
      </w:pPr>
      <w:r>
        <w:t>1.2 The ULMS v2.0 Value Proposition</w:t>
      </w:r>
    </w:p>
    <w:p>
      <w:pPr>
        <w:spacing w:after="80" w:line="276" w:lineRule="auto"/>
      </w:pPr>
      <w:r>
        <w:rPr>
          <w:rFonts w:ascii="Calibri" w:hAnsi="Calibri" w:eastAsia="Calibri"/>
          <w:b w:val="0"/>
          <w:i w:val="0"/>
          <w:color w:val="222222"/>
          <w:sz w:val="19"/>
        </w:rPr>
        <w:t xml:space="preserve">The </w:t>
      </w:r>
      <w:r>
        <w:rPr>
          <w:rFonts w:ascii="Calibri" w:hAnsi="Calibri" w:eastAsia="Calibri"/>
          <w:b/>
          <w:i w:val="0"/>
          <w:color w:val="222222"/>
          <w:sz w:val="19"/>
        </w:rPr>
        <w:t>Unisoft Loan Management System (ULMS v2.0)</w:t>
      </w:r>
      <w:r>
        <w:rPr>
          <w:rFonts w:ascii="Calibri" w:hAnsi="Calibri" w:eastAsia="Calibri"/>
          <w:b w:val="0"/>
          <w:i w:val="0"/>
          <w:color w:val="222222"/>
          <w:sz w:val="19"/>
        </w:rPr>
        <w:t xml:space="preserve">, engineered by </w:t>
      </w:r>
      <w:r>
        <w:rPr>
          <w:rFonts w:ascii="Calibri" w:hAnsi="Calibri" w:eastAsia="Calibri"/>
          <w:b/>
          <w:i w:val="0"/>
          <w:color w:val="222222"/>
          <w:sz w:val="19"/>
        </w:rPr>
        <w:t>Unisoft Systems Limited</w:t>
      </w:r>
      <w:r>
        <w:rPr>
          <w:rFonts w:ascii="Calibri" w:hAnsi="Calibri" w:eastAsia="Calibri"/>
          <w:b w:val="0"/>
          <w:i w:val="0"/>
          <w:color w:val="222222"/>
          <w:sz w:val="19"/>
        </w:rPr>
        <w:t xml:space="preserve"> (a premier technology enterprise of </w:t>
      </w:r>
      <w:r>
        <w:rPr>
          <w:rFonts w:ascii="Calibri" w:hAnsi="Calibri" w:eastAsia="Calibri"/>
          <w:b/>
          <w:i w:val="0"/>
          <w:color w:val="222222"/>
          <w:sz w:val="19"/>
        </w:rPr>
        <w:t>Smart Technologies BD Ltd</w:t>
      </w:r>
      <w:r>
        <w:rPr>
          <w:rFonts w:ascii="Calibri" w:hAnsi="Calibri" w:eastAsia="Calibri"/>
          <w:b w:val="0"/>
          <w:i w:val="0"/>
          <w:color w:val="222222"/>
          <w:sz w:val="19"/>
        </w:rPr>
        <w:t>), directly resolves these banking bottlenecks:</w:t>
      </w:r>
    </w:p>
    <w:p>
      <w:pPr>
        <w:pStyle w:val="ListBullet"/>
        <w:spacing w:after="40" w:line="276" w:lineRule="auto"/>
      </w:pPr>
      <w:r>
        <w:rPr>
          <w:rFonts w:ascii="Calibri" w:hAnsi="Calibri" w:eastAsia="Calibri"/>
          <w:b/>
          <w:i w:val="0"/>
          <w:color w:val="222222"/>
          <w:sz w:val="19"/>
        </w:rPr>
        <w:t>100% Bangladesh Bank Regulatory Alignment:</w:t>
      </w:r>
      <w:r>
        <w:rPr>
          <w:rFonts w:ascii="Calibri" w:hAnsi="Calibri" w:eastAsia="Calibri"/>
          <w:b w:val="0"/>
          <w:i w:val="0"/>
          <w:color w:val="222222"/>
          <w:sz w:val="19"/>
        </w:rPr>
        <w:t xml:space="preserve"> Native, pre-configured compliance with BRPD Circular 15/2024, automated Credit Information Bureau (CIB) Online REST integration, BFIU e-KYC biometric matching, and automated IFRS-9 ECL Stage 1/2/3 staging algorithms.</w:t>
      </w:r>
    </w:p>
    <w:p>
      <w:pPr>
        <w:pStyle w:val="ListBullet"/>
        <w:spacing w:after="40" w:line="276" w:lineRule="auto"/>
      </w:pPr>
      <w:r>
        <w:rPr>
          <w:rFonts w:ascii="Calibri" w:hAnsi="Calibri" w:eastAsia="Calibri"/>
          <w:b/>
          <w:i w:val="0"/>
          <w:color w:val="222222"/>
          <w:sz w:val="19"/>
        </w:rPr>
        <w:t>Radical Cost Advantage (70–85% Lower TCO):</w:t>
      </w:r>
      <w:r>
        <w:rPr>
          <w:rFonts w:ascii="Calibri" w:hAnsi="Calibri" w:eastAsia="Calibri"/>
          <w:b w:val="0"/>
          <w:i w:val="0"/>
          <w:color w:val="222222"/>
          <w:sz w:val="19"/>
        </w:rPr>
        <w:t xml:space="preserve"> Delivered at a fraction of foreign vendor costs with zero foreign currency licensing liabilities.</w:t>
      </w:r>
    </w:p>
    <w:p>
      <w:pPr>
        <w:pStyle w:val="ListBullet"/>
        <w:spacing w:after="40" w:line="276" w:lineRule="auto"/>
      </w:pPr>
      <w:r>
        <w:rPr>
          <w:rFonts w:ascii="Calibri" w:hAnsi="Calibri" w:eastAsia="Calibri"/>
          <w:b/>
          <w:i w:val="0"/>
          <w:color w:val="222222"/>
          <w:sz w:val="19"/>
        </w:rPr>
        <w:t>Rapid Deployment Velocity:</w:t>
      </w:r>
      <w:r>
        <w:rPr>
          <w:rFonts w:ascii="Calibri" w:hAnsi="Calibri" w:eastAsia="Calibri"/>
          <w:b w:val="0"/>
          <w:i w:val="0"/>
          <w:color w:val="222222"/>
          <w:sz w:val="19"/>
        </w:rPr>
        <w:t xml:space="preserve"> Pre-built integration connectors for prevailing Core Banking Systems in Bangladesh (Temenos T24, Oracle FLEXCUBE, Finacle, Flora Bank, BankUltimus) enabling pilot branch go-live within 12 weeks.</w:t>
      </w:r>
    </w:p>
    <w:p>
      <w:pPr>
        <w:pStyle w:val="ListBullet"/>
        <w:spacing w:after="40" w:line="276" w:lineRule="auto"/>
      </w:pPr>
      <w:r>
        <w:rPr>
          <w:rFonts w:ascii="Calibri" w:hAnsi="Calibri" w:eastAsia="Calibri"/>
          <w:b/>
          <w:i w:val="0"/>
          <w:color w:val="222222"/>
          <w:sz w:val="19"/>
        </w:rPr>
        <w:t>Local 24/7 Enterprise Engineering Support:</w:t>
      </w:r>
      <w:r>
        <w:rPr>
          <w:rFonts w:ascii="Calibri" w:hAnsi="Calibri" w:eastAsia="Calibri"/>
          <w:b w:val="0"/>
          <w:i w:val="0"/>
          <w:color w:val="222222"/>
          <w:sz w:val="19"/>
        </w:rPr>
        <w:t xml:space="preserve"> Dedicated Tier-1, Tier-2, and Tier-3 engineering and regulatory support teams based permanently in Dhaka (Youth Tower, Begum Rokeya Sarani).</w:t>
      </w:r>
    </w:p>
    <w:p>
      <w:pPr>
        <w:pStyle w:val="ListBullet"/>
        <w:spacing w:after="40" w:line="276" w:lineRule="auto"/>
      </w:pPr>
      <w:r>
        <w:rPr>
          <w:rFonts w:ascii="Calibri" w:hAnsi="Calibri" w:eastAsia="Calibri"/>
          <w:b/>
          <w:i w:val="0"/>
          <w:color w:val="222222"/>
          <w:sz w:val="19"/>
        </w:rPr>
        <w:t>Dual-Banking Engine:</w:t>
      </w:r>
      <w:r>
        <w:rPr>
          <w:rFonts w:ascii="Calibri" w:hAnsi="Calibri" w:eastAsia="Calibri"/>
          <w:b w:val="0"/>
          <w:i w:val="0"/>
          <w:color w:val="222222"/>
          <w:sz w:val="19"/>
        </w:rPr>
        <w:t xml:space="preserve"> Seamlessly supports both Conventional Interest-Bearing loans and Shariah-Compliant Islamic Financing modes (Murabaha, Ijara, Musharaka, Mudaraba, Bai-Muajjal).</w:t>
      </w:r>
    </w:p>
    <w:p>
      <w:pPr>
        <w:pStyle w:val="Heading3"/>
        <w:keepNext/>
      </w:pPr>
      <w:r>
        <w:t>1.3 Purpose of the Master Business Documentation Catalog</w:t>
      </w:r>
    </w:p>
    <w:p>
      <w:pPr>
        <w:spacing w:after="80" w:line="276" w:lineRule="auto"/>
      </w:pPr>
      <w:r>
        <w:rPr>
          <w:rFonts w:ascii="Calibri" w:hAnsi="Calibri" w:eastAsia="Calibri"/>
          <w:b w:val="0"/>
          <w:i w:val="0"/>
          <w:color w:val="222222"/>
          <w:sz w:val="19"/>
        </w:rPr>
        <w:t xml:space="preserve">This master catalog serves as the </w:t>
      </w:r>
      <w:r>
        <w:rPr>
          <w:rFonts w:ascii="Calibri" w:hAnsi="Calibri" w:eastAsia="Calibri"/>
          <w:b/>
          <w:i w:val="0"/>
          <w:color w:val="222222"/>
          <w:sz w:val="19"/>
        </w:rPr>
        <w:t>authoritative operational blueprint and inventory</w:t>
      </w:r>
      <w:r>
        <w:rPr>
          <w:rFonts w:ascii="Calibri" w:hAnsi="Calibri" w:eastAsia="Calibri"/>
          <w:b w:val="0"/>
          <w:i w:val="0"/>
          <w:color w:val="222222"/>
          <w:sz w:val="19"/>
        </w:rPr>
        <w:t xml:space="preserve"> for all sales and marketing documentation. It equips the revenue team, pre-sales engineers, bid managers, and executive leadership with an exhaustive, battle-tested collateral library designed to guide prospective banks through every phase of the institutional buying journey—from initial executive awareness to final procurement award and delivery handoff.</w:t>
      </w:r>
    </w:p>
    <w:p>
      <w:pPr>
        <w:pStyle w:val="Heading2"/>
        <w:keepNext/>
      </w:pPr>
      <w:r>
        <w:t>2. Enterprise Banking Sales &amp; Procurement Lifecycle Framework</w:t>
      </w:r>
    </w:p>
    <w:p>
      <w:pPr>
        <w:keepNext/>
        <w:spacing w:before="160" w:after="40"/>
        <w:jc w:val="center"/>
      </w:pPr>
      <w:r>
        <w:drawing>
          <wp:inline xmlns:a="http://schemas.openxmlformats.org/drawingml/2006/main" xmlns:pic="http://schemas.openxmlformats.org/drawingml/2006/picture">
            <wp:extent cx="5688000" cy="3199500"/>
            <wp:docPr id="3" name="Picture 3" descr="Classification and provisioning interface" title="Figure 3: Production UI — Automated BRPD 15/2024 7-Stage Classification Engine"/>
            <wp:cNvGraphicFramePr>
              <a:graphicFrameLocks noChangeAspect="1"/>
            </wp:cNvGraphicFramePr>
            <a:graphic>
              <a:graphicData uri="http://schemas.openxmlformats.org/drawingml/2006/picture">
                <pic:pic>
                  <pic:nvPicPr>
                    <pic:cNvPr id="0" name="s03_classification.png"/>
                    <pic:cNvPicPr/>
                  </pic:nvPicPr>
                  <pic:blipFill>
                    <a:blip r:embed="rId13"/>
                    <a:stretch>
                      <a:fillRect/>
                    </a:stretch>
                  </pic:blipFill>
                  <pic:spPr>
                    <a:xfrm>
                      <a:off x="0" y="0"/>
                      <a:ext cx="5688000" cy="3199500"/>
                    </a:xfrm>
                    <a:prstGeom prst="rect"/>
                  </pic:spPr>
                </pic:pic>
              </a:graphicData>
            </a:graphic>
          </wp:inline>
        </w:drawing>
      </w:r>
    </w:p>
    <w:p>
      <w:pPr>
        <w:spacing w:before="40" w:after="160"/>
        <w:jc w:val="center"/>
      </w:pPr>
      <w:r>
        <w:rPr>
          <w:rFonts w:ascii="Calibri" w:hAnsi="Calibri" w:eastAsia="Calibri"/>
          <w:b/>
          <w:i/>
          <w:color w:val="555555"/>
          <w:sz w:val="17"/>
        </w:rPr>
        <w:t>Figure 3: Production UI — Automated BRPD 15/2024 7-Stage Classification Engine</w:t>
      </w:r>
    </w:p>
    <w:p>
      <w:pPr>
        <w:spacing w:after="80" w:line="276" w:lineRule="auto"/>
      </w:pPr>
      <w:r>
        <w:rPr>
          <w:rFonts w:ascii="Calibri" w:hAnsi="Calibri" w:eastAsia="Calibri"/>
          <w:b w:val="0"/>
          <w:i w:val="0"/>
          <w:color w:val="222222"/>
          <w:sz w:val="19"/>
        </w:rPr>
        <w:t xml:space="preserve">Enterprise software sales in the banking sector follow a highly structured, risk-averse procurement cycle governed by the </w:t>
      </w:r>
      <w:r>
        <w:rPr>
          <w:rFonts w:ascii="Calibri" w:hAnsi="Calibri" w:eastAsia="Calibri"/>
          <w:b/>
          <w:i w:val="0"/>
          <w:color w:val="222222"/>
          <w:sz w:val="19"/>
        </w:rPr>
        <w:t>Public Procurement Rules (PPR 2008)</w:t>
      </w:r>
      <w:r>
        <w:rPr>
          <w:rFonts w:ascii="Calibri" w:hAnsi="Calibri" w:eastAsia="Calibri"/>
          <w:b w:val="0"/>
          <w:i w:val="0"/>
          <w:color w:val="222222"/>
          <w:sz w:val="19"/>
        </w:rPr>
        <w:t xml:space="preserve"> and internal Bank Board ICT Purchase Policies. The typical deal cycle spans </w:t>
      </w:r>
      <w:r>
        <w:rPr>
          <w:rFonts w:ascii="Calibri" w:hAnsi="Calibri" w:eastAsia="Calibri"/>
          <w:b/>
          <w:i w:val="0"/>
          <w:color w:val="222222"/>
          <w:sz w:val="19"/>
        </w:rPr>
        <w:t>6 to 12 months</w:t>
      </w:r>
      <w:r>
        <w:rPr>
          <w:rFonts w:ascii="Calibri" w:hAnsi="Calibri" w:eastAsia="Calibri"/>
          <w:b w:val="0"/>
          <w:i w:val="0"/>
          <w:color w:val="222222"/>
          <w:sz w:val="19"/>
        </w:rPr>
        <w:t xml:space="preserve"> and involves multi-departmental committees.</w:t>
      </w:r>
    </w:p>
    <w:tbl>
      <w:tblPr>
        <w:tblW w:type="auto" w:w="0"/>
        <w:jc w:val="center"/>
        <w:tblLook w:firstColumn="1" w:firstRow="1" w:lastColumn="0" w:lastRow="0" w:noHBand="0" w:noVBand="1" w:val="04A0"/>
      </w:tblPr>
      <w:tblGrid>
        <w:gridCol w:w="9638"/>
      </w:tblGrid>
      <w:tr>
        <w:tc>
          <w:tcPr>
            <w:tcW w:type="dxa" w:w="9638"/>
            <w:shd w:fill="EEF0FA"/>
            <w:tcMar>
              <w:top w:w="140" w:type="dxa"/>
              <w:bottom w:w="140" w:type="dxa"/>
              <w:left w:w="200" w:type="dxa"/>
              <w:right w:w="180" w:type="dxa"/>
            </w:tcMar>
            <w:tcBorders>
              <w:top w:val="none"/>
              <w:left w:val="single" w:sz="36" w:space="0" w:color="1E2660"/>
              <w:bottom w:val="none"/>
              <w:right w:val="none"/>
            </w:tcBorders>
          </w:tcPr>
          <w:p>
            <w:pPr>
              <w:spacing w:after="40" w:line="276" w:lineRule="auto"/>
            </w:pPr>
            <w:r>
              <w:rPr>
                <w:rFonts w:ascii="Calibri" w:hAnsi="Calibri" w:eastAsia="Calibri"/>
                <w:b/>
                <w:i w:val="0"/>
                <w:color w:val="1E2660"/>
                <w:sz w:val="18"/>
              </w:rPr>
              <w:t xml:space="preserve">System Architecture Specification (Mermaid DSL):  </w:t>
            </w:r>
            <w:r>
              <w:rPr>
                <w:rFonts w:ascii="Calibri" w:hAnsi="Calibri" w:eastAsia="Calibri"/>
                <w:b w:val="0"/>
                <w:i w:val="0"/>
                <w:color w:val="222222"/>
                <w:sz w:val="18"/>
              </w:rPr>
              <w:t>[Diagram Topology: flowchart TD]</w:t>
              <w:br/>
              <w:t>flowchart TD</w:t>
              <w:br/>
              <w:t xml:space="preserve">    subgraph S1 ["Stage 1: Awareness &amp; Market Positioning"]</w:t>
              <w:br/>
              <w:t xml:space="preserve">        M1["Thought Leadership Whitepapers"]</w:t>
              <w:br/>
              <w:t xml:space="preserve">        M2["Product Brochures &amp; One-Pagers"]</w:t>
              <w:br/>
              <w:t xml:space="preserve">        M3["Corporate Profile &amp; Banking Credentials"]</w:t>
              <w:br/>
              <w:t xml:space="preserve">    end</w:t>
            </w:r>
          </w:p>
        </w:tc>
      </w:tr>
    </w:tbl>
    <w:p>
      <w:pPr>
        <w:spacing w:after="80"/>
      </w:pPr>
    </w:p>
    <w:p>
      <w:pPr>
        <w:pStyle w:val="Heading3"/>
        <w:keepNext/>
      </w:pPr>
      <w:r>
        <w:t>The Seven Operational Stages of the ULMS Sales Motion:</w:t>
      </w:r>
    </w:p>
    <w:p>
      <w:pPr>
        <w:pStyle w:val="ListNumber"/>
        <w:spacing w:after="40" w:line="276" w:lineRule="auto"/>
      </w:pPr>
      <w:r>
        <w:rPr>
          <w:rFonts w:ascii="Calibri" w:hAnsi="Calibri" w:eastAsia="Calibri"/>
          <w:b/>
          <w:i w:val="0"/>
          <w:color w:val="222222"/>
          <w:sz w:val="19"/>
        </w:rPr>
        <w:t>Stage 1: Strategic Market Positioning &amp; Brand Awareness (Pre-Engagement):</w:t>
      </w:r>
      <w:r>
        <w:rPr>
          <w:rFonts w:ascii="Calibri" w:hAnsi="Calibri" w:eastAsia="Calibri"/>
          <w:b w:val="0"/>
          <w:i w:val="0"/>
          <w:color w:val="222222"/>
          <w:sz w:val="19"/>
        </w:rPr>
        <w:t xml:space="preserve"> Establishing Unisoft as the unquestioned national authority on digital lending, banking technology, and regulatory engineering.</w:t>
      </w:r>
    </w:p>
    <w:p>
      <w:pPr>
        <w:pStyle w:val="ListNumber"/>
        <w:spacing w:after="40" w:line="276" w:lineRule="auto"/>
      </w:pPr>
      <w:r>
        <w:rPr>
          <w:rFonts w:ascii="Calibri" w:hAnsi="Calibri" w:eastAsia="Calibri"/>
          <w:b/>
          <w:i w:val="0"/>
          <w:color w:val="222222"/>
          <w:sz w:val="19"/>
        </w:rPr>
        <w:t>Stage 2: Targeted Outreach &amp; MEDDPIC Qualification (Discovery):</w:t>
      </w:r>
      <w:r>
        <w:rPr>
          <w:rFonts w:ascii="Calibri" w:hAnsi="Calibri" w:eastAsia="Calibri"/>
          <w:b w:val="0"/>
          <w:i w:val="0"/>
          <w:color w:val="222222"/>
          <w:sz w:val="19"/>
        </w:rPr>
        <w:t xml:space="preserve"> Identifying bank-specific pain points (e.g., rising SME NPLs, manual CIB delays) and qualifying economic buyers.</w:t>
      </w:r>
    </w:p>
    <w:p>
      <w:pPr>
        <w:pStyle w:val="ListNumber"/>
        <w:spacing w:after="40" w:line="276" w:lineRule="auto"/>
      </w:pPr>
      <w:r>
        <w:rPr>
          <w:rFonts w:ascii="Calibri" w:hAnsi="Calibri" w:eastAsia="Calibri"/>
          <w:b/>
          <w:i w:val="0"/>
          <w:color w:val="222222"/>
          <w:sz w:val="19"/>
        </w:rPr>
        <w:t>Stage 3: Solution Mapping &amp; Master Product Demonstrations (Evaluation):</w:t>
      </w:r>
      <w:r>
        <w:rPr>
          <w:rFonts w:ascii="Calibri" w:hAnsi="Calibri" w:eastAsia="Calibri"/>
          <w:b w:val="0"/>
          <w:i w:val="0"/>
          <w:color w:val="222222"/>
          <w:sz w:val="19"/>
        </w:rPr>
        <w:t xml:space="preserve"> Delivering role-based demonstrations that prove how ULMS slashes loan processing time from 21 days to under 48 hours.</w:t>
      </w:r>
    </w:p>
    <w:p>
      <w:pPr>
        <w:pStyle w:val="ListNumber"/>
        <w:spacing w:after="40" w:line="276" w:lineRule="auto"/>
      </w:pPr>
      <w:r>
        <w:rPr>
          <w:rFonts w:ascii="Calibri" w:hAnsi="Calibri" w:eastAsia="Calibri"/>
          <w:b/>
          <w:i w:val="0"/>
          <w:color w:val="222222"/>
          <w:sz w:val="19"/>
        </w:rPr>
        <w:t>Stage 4: Formal Tender Bidding &amp; QCBS Proposal Defense (Procurement):</w:t>
      </w:r>
      <w:r>
        <w:rPr>
          <w:rFonts w:ascii="Calibri" w:hAnsi="Calibri" w:eastAsia="Calibri"/>
          <w:b w:val="0"/>
          <w:i w:val="0"/>
          <w:color w:val="222222"/>
          <w:sz w:val="19"/>
        </w:rPr>
        <w:t xml:space="preserve"> Submitting airtight, two-envelope technical and financial bids that achieve maximum technical evaluation scores (&gt;90/100).</w:t>
      </w:r>
    </w:p>
    <w:p>
      <w:pPr>
        <w:pStyle w:val="ListNumber"/>
        <w:spacing w:after="40" w:line="276" w:lineRule="auto"/>
      </w:pPr>
      <w:r>
        <w:rPr>
          <w:rFonts w:ascii="Calibri" w:hAnsi="Calibri" w:eastAsia="Calibri"/>
          <w:b/>
          <w:i w:val="0"/>
          <w:color w:val="222222"/>
          <w:sz w:val="19"/>
        </w:rPr>
        <w:t>Stage 5: Commercial Structuring &amp; CFO/Board ROI Justification (Business Case):</w:t>
      </w:r>
      <w:r>
        <w:rPr>
          <w:rFonts w:ascii="Calibri" w:hAnsi="Calibri" w:eastAsia="Calibri"/>
          <w:b w:val="0"/>
          <w:i w:val="0"/>
          <w:color w:val="222222"/>
          <w:sz w:val="19"/>
        </w:rPr>
        <w:t xml:space="preserve"> Providing defensible financial models demonstrating a sub-9-month payback period and 300%+ 5-year return on investment.</w:t>
      </w:r>
    </w:p>
    <w:p>
      <w:pPr>
        <w:pStyle w:val="ListNumber"/>
        <w:spacing w:after="40" w:line="276" w:lineRule="auto"/>
      </w:pPr>
      <w:r>
        <w:rPr>
          <w:rFonts w:ascii="Calibri" w:hAnsi="Calibri" w:eastAsia="Calibri"/>
          <w:b/>
          <w:i w:val="0"/>
          <w:color w:val="222222"/>
          <w:sz w:val="19"/>
        </w:rPr>
        <w:t>Stage 6: Regulatory Assurance, Risk Clearance &amp; PoC Validation (Due Diligence):</w:t>
      </w:r>
      <w:r>
        <w:rPr>
          <w:rFonts w:ascii="Calibri" w:hAnsi="Calibri" w:eastAsia="Calibri"/>
          <w:b w:val="0"/>
          <w:i w:val="0"/>
          <w:color w:val="222222"/>
          <w:sz w:val="19"/>
        </w:rPr>
        <w:t xml:space="preserve"> Assuring the Chief Risk Officer (CRO), Chief Information Officer (CIO), and Head of Internal Control &amp; Compliance (ICC) through compliance dossiers and controlled, bounded Proofs of Concept.</w:t>
      </w:r>
    </w:p>
    <w:p>
      <w:pPr>
        <w:pStyle w:val="ListNumber"/>
        <w:spacing w:after="40" w:line="276" w:lineRule="auto"/>
      </w:pPr>
      <w:r>
        <w:rPr>
          <w:rFonts w:ascii="Calibri" w:hAnsi="Calibri" w:eastAsia="Calibri"/>
          <w:b/>
          <w:i w:val="0"/>
          <w:color w:val="222222"/>
          <w:sz w:val="19"/>
        </w:rPr>
        <w:t>Stage 7: Contract Execution, SLA Finalization &amp; Delivery Handoff (Closing):</w:t>
      </w:r>
      <w:r>
        <w:rPr>
          <w:rFonts w:ascii="Calibri" w:hAnsi="Calibri" w:eastAsia="Calibri"/>
          <w:b w:val="0"/>
          <w:i w:val="0"/>
          <w:color w:val="222222"/>
          <w:sz w:val="19"/>
        </w:rPr>
        <w:t xml:space="preserve"> Executing standard institutional contracts and conducting formal handoffs to the Unisoft implementation engineering team.</w:t>
      </w:r>
    </w:p>
    <w:p>
      <w:pPr>
        <w:pStyle w:val="Heading2"/>
        <w:keepNext/>
      </w:pPr>
      <w:r>
        <w:t>3. Master Folder Tree Structure</w:t>
      </w:r>
    </w:p>
    <w:p>
      <w:pPr>
        <w:keepNext/>
        <w:spacing w:before="160" w:after="40"/>
        <w:jc w:val="center"/>
      </w:pPr>
      <w:r>
        <w:drawing>
          <wp:inline xmlns:a="http://schemas.openxmlformats.org/drawingml/2006/main" xmlns:pic="http://schemas.openxmlformats.org/drawingml/2006/picture">
            <wp:extent cx="5688000" cy="3086043"/>
            <wp:docPr id="4" name="Picture 4" descr="C4 architecture diagram" title="Figure 4: System Architecture — ULMS v2.0 Modular Monolith Topology"/>
            <wp:cNvGraphicFramePr>
              <a:graphicFrameLocks noChangeAspect="1"/>
            </wp:cNvGraphicFramePr>
            <a:graphic>
              <a:graphicData uri="http://schemas.openxmlformats.org/drawingml/2006/picture">
                <pic:pic>
                  <pic:nvPicPr>
                    <pic:cNvPr id="0" name="E1_architecture.png"/>
                    <pic:cNvPicPr/>
                  </pic:nvPicPr>
                  <pic:blipFill>
                    <a:blip r:embed="rId14"/>
                    <a:stretch>
                      <a:fillRect/>
                    </a:stretch>
                  </pic:blipFill>
                  <pic:spPr>
                    <a:xfrm>
                      <a:off x="0" y="0"/>
                      <a:ext cx="5688000" cy="3086043"/>
                    </a:xfrm>
                    <a:prstGeom prst="rect"/>
                  </pic:spPr>
                </pic:pic>
              </a:graphicData>
            </a:graphic>
          </wp:inline>
        </w:drawing>
      </w:r>
    </w:p>
    <w:p>
      <w:pPr>
        <w:spacing w:before="40" w:after="160"/>
        <w:jc w:val="center"/>
      </w:pPr>
      <w:r>
        <w:rPr>
          <w:rFonts w:ascii="Calibri" w:hAnsi="Calibri" w:eastAsia="Calibri"/>
          <w:b/>
          <w:i/>
          <w:color w:val="555555"/>
          <w:sz w:val="17"/>
        </w:rPr>
        <w:t>Figure 4: System Architecture — ULMS v2.0 Modular Monolith Topology</w:t>
      </w:r>
    </w:p>
    <w:p>
      <w:pPr>
        <w:spacing w:after="80" w:line="276" w:lineRule="auto"/>
      </w:pPr>
      <w:r>
        <w:rPr>
          <w:rFonts w:ascii="Calibri" w:hAnsi="Calibri" w:eastAsia="Calibri"/>
          <w:b w:val="0"/>
          <w:i w:val="0"/>
          <w:color w:val="222222"/>
          <w:sz w:val="19"/>
        </w:rPr>
        <w:t xml:space="preserve">All business, sales, and marketing collateral shall be maintained under </w:t>
      </w:r>
      <w:r>
        <w:rPr>
          <w:rFonts w:ascii="Consolas" w:hAnsi="Consolas" w:eastAsia="Consolas"/>
          <w:b w:val="0"/>
          <w:i w:val="0"/>
          <w:color w:val="8B0000"/>
          <w:sz w:val="18"/>
        </w:rPr>
        <w:t>C:\software_project\mim_project\LMS\business_document\</w:t>
      </w:r>
      <w:r>
        <w:rPr>
          <w:rFonts w:ascii="Calibri" w:hAnsi="Calibri" w:eastAsia="Calibri"/>
          <w:b w:val="0"/>
          <w:i w:val="0"/>
          <w:color w:val="222222"/>
          <w:sz w:val="19"/>
        </w:rPr>
        <w:t xml:space="preserve"> adhering to the deterministic directory hierarchy detailed below:</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638"/>
      </w:tblGrid>
      <w:tr>
        <w:tc>
          <w:tcPr>
            <w:tcW w:type="dxa" w:w="9638"/>
            <w:shd w:fill="F6F8FA"/>
            <w:tcMar>
              <w:top w:w="120" w:type="dxa"/>
              <w:bottom w:w="120" w:type="dxa"/>
              <w:left w:w="160" w:type="dxa"/>
              <w:right w:w="160" w:type="dxa"/>
            </w:tcMar>
          </w:tcPr>
          <w:p>
            <w:pPr>
              <w:spacing w:after="20" w:line="252" w:lineRule="auto"/>
            </w:pPr>
            <w:r>
              <w:rPr>
                <w:rFonts w:ascii="Consolas" w:hAnsi="Consolas" w:eastAsia="Consolas"/>
                <w:b w:val="0"/>
                <w:i w:val="0"/>
                <w:color w:val="222222"/>
                <w:sz w:val="17"/>
              </w:rPr>
              <w:t>c:\software_project\mim_project\LMS\business_document\</w:t>
            </w:r>
          </w:p>
          <w:p>
            <w:pPr>
              <w:spacing w:after="20" w:line="252" w:lineRule="auto"/>
            </w:pPr>
            <w:r>
              <w:rPr>
                <w:rFonts w:ascii="Consolas" w:hAnsi="Consolas" w:eastAsia="Consolas"/>
                <w:b w:val="0"/>
                <w:i w:val="0"/>
                <w:color w:val="222222"/>
                <w:sz w:val="17"/>
              </w:rPr>
              <w:t>│</w:t>
            </w:r>
          </w:p>
          <w:p>
            <w:pPr>
              <w:spacing w:after="20" w:line="252" w:lineRule="auto"/>
            </w:pPr>
            <w:r>
              <w:rPr>
                <w:rFonts w:ascii="Consolas" w:hAnsi="Consolas" w:eastAsia="Consolas"/>
                <w:b w:val="0"/>
                <w:i w:val="0"/>
                <w:color w:val="222222"/>
                <w:sz w:val="17"/>
              </w:rPr>
              <w:t>├── MASTER_BUSINESS_DOCUMENTATION_CATALOG.md   # [This Document] Master Index &amp; Architectural Catalog</w:t>
            </w:r>
          </w:p>
          <w:p>
            <w:pPr>
              <w:spacing w:after="20" w:line="252" w:lineRule="auto"/>
            </w:pPr>
            <w:r>
              <w:rPr>
                <w:rFonts w:ascii="Consolas" w:hAnsi="Consolas" w:eastAsia="Consolas"/>
                <w:b w:val="0"/>
                <w:i w:val="0"/>
                <w:color w:val="222222"/>
                <w:sz w:val="17"/>
              </w:rPr>
              <w:t>├── README.md                                  # Executive Overview &amp; Sales Team Quick-Start Navigator</w:t>
            </w:r>
          </w:p>
          <w:p>
            <w:pPr>
              <w:spacing w:after="20" w:line="252" w:lineRule="auto"/>
            </w:pPr>
            <w:r>
              <w:rPr>
                <w:rFonts w:ascii="Consolas" w:hAnsi="Consolas" w:eastAsia="Consolas"/>
                <w:b w:val="0"/>
                <w:i w:val="0"/>
                <w:color w:val="222222"/>
                <w:sz w:val="17"/>
              </w:rPr>
              <w:t>│</w:t>
            </w:r>
          </w:p>
          <w:p>
            <w:pPr>
              <w:spacing w:after="20" w:line="252" w:lineRule="auto"/>
            </w:pPr>
            <w:r>
              <w:rPr>
                <w:rFonts w:ascii="Consolas" w:hAnsi="Consolas" w:eastAsia="Consolas"/>
                <w:b w:val="0"/>
                <w:i w:val="0"/>
                <w:color w:val="222222"/>
                <w:sz w:val="17"/>
              </w:rPr>
              <w:t>├── 01_strategic_marketing/                    # CAT-01: Strategic Positioning &amp; Brand Authority</w:t>
            </w:r>
          </w:p>
          <w:p>
            <w:pPr>
              <w:spacing w:after="20" w:line="252" w:lineRule="auto"/>
            </w:pPr>
            <w:r>
              <w:rPr>
                <w:rFonts w:ascii="Consolas" w:hAnsi="Consolas" w:eastAsia="Consolas"/>
                <w:b w:val="0"/>
                <w:i w:val="0"/>
                <w:color w:val="222222"/>
                <w:sz w:val="17"/>
              </w:rPr>
              <w:t>│   ├── README.md                              # Category Index &amp; Asset Summary</w:t>
            </w:r>
          </w:p>
          <w:p>
            <w:pPr>
              <w:spacing w:after="20" w:line="252" w:lineRule="auto"/>
            </w:pPr>
            <w:r>
              <w:rPr>
                <w:rFonts w:ascii="Consolas" w:hAnsi="Consolas" w:eastAsia="Consolas"/>
                <w:b w:val="0"/>
                <w:i w:val="0"/>
                <w:color w:val="222222"/>
                <w:sz w:val="17"/>
              </w:rPr>
              <w:t>│   ├── DOC-01_Product_Overview_Brochure.md    # Executive Product Brochure &amp; High-Level Feature Grid</w:t>
            </w:r>
          </w:p>
          <w:p>
            <w:pPr>
              <w:spacing w:after="20" w:line="252" w:lineRule="auto"/>
            </w:pPr>
            <w:r>
              <w:rPr>
                <w:rFonts w:ascii="Consolas" w:hAnsi="Consolas" w:eastAsia="Consolas"/>
                <w:b w:val="0"/>
                <w:i w:val="0"/>
                <w:color w:val="222222"/>
                <w:sz w:val="17"/>
              </w:rPr>
              <w:t>│   ├── DOC-02_Corporate_Profile_Deck.md       # Master Banking Credentials &amp; Unisoft Enterprise Profile</w:t>
            </w:r>
          </w:p>
          <w:p>
            <w:pPr>
              <w:spacing w:after="20" w:line="252" w:lineRule="auto"/>
            </w:pPr>
            <w:r>
              <w:rPr>
                <w:rFonts w:ascii="Consolas" w:hAnsi="Consolas" w:eastAsia="Consolas"/>
                <w:b w:val="0"/>
                <w:i w:val="0"/>
                <w:color w:val="222222"/>
                <w:sz w:val="17"/>
              </w:rPr>
              <w:t>│   ├── DOC-03_Executive_One_Pager_Why_ULMS.md # C-Suite Decision Brief (Cost, Compliance, Velocity)</w:t>
            </w:r>
          </w:p>
          <w:p>
            <w:pPr>
              <w:spacing w:after="20" w:line="252" w:lineRule="auto"/>
            </w:pPr>
            <w:r>
              <w:rPr>
                <w:rFonts w:ascii="Consolas" w:hAnsi="Consolas" w:eastAsia="Consolas"/>
                <w:b w:val="0"/>
                <w:i w:val="0"/>
                <w:color w:val="222222"/>
                <w:sz w:val="17"/>
              </w:rPr>
              <w:t>│   ├── DOC-04_Market_Research_Whitepaper.md   # Bangladesh Digital Lending Sector Report 2026</w:t>
            </w:r>
          </w:p>
          <w:p>
            <w:pPr>
              <w:spacing w:after="20" w:line="252" w:lineRule="auto"/>
            </w:pPr>
            <w:r>
              <w:rPr>
                <w:rFonts w:ascii="Consolas" w:hAnsi="Consolas" w:eastAsia="Consolas"/>
                <w:b w:val="0"/>
                <w:i w:val="0"/>
                <w:color w:val="222222"/>
                <w:sz w:val="17"/>
              </w:rPr>
              <w:t>│   ├── DOC-05_Case_Study_Tier1_Bank.md        # ABC Bank Bangladesh Core Transformation Story</w:t>
            </w:r>
          </w:p>
          <w:p>
            <w:pPr>
              <w:spacing w:after="20" w:line="252" w:lineRule="auto"/>
            </w:pPr>
            <w:r>
              <w:rPr>
                <w:rFonts w:ascii="Consolas" w:hAnsi="Consolas" w:eastAsia="Consolas"/>
                <w:b w:val="0"/>
                <w:i w:val="0"/>
                <w:color w:val="222222"/>
                <w:sz w:val="17"/>
              </w:rPr>
              <w:t>│   └── DOC-06_Press_Release_Launch_Kit.md     # Official Media Announcement &amp; Public Relations Pack</w:t>
            </w:r>
          </w:p>
          <w:p>
            <w:pPr>
              <w:spacing w:after="20" w:line="252" w:lineRule="auto"/>
            </w:pPr>
            <w:r>
              <w:rPr>
                <w:rFonts w:ascii="Consolas" w:hAnsi="Consolas" w:eastAsia="Consolas"/>
                <w:b w:val="0"/>
                <w:i w:val="0"/>
                <w:color w:val="222222"/>
                <w:sz w:val="17"/>
              </w:rPr>
              <w:t>│</w:t>
            </w:r>
          </w:p>
          <w:p>
            <w:pPr>
              <w:spacing w:after="20" w:line="252" w:lineRule="auto"/>
            </w:pPr>
            <w:r>
              <w:rPr>
                <w:rFonts w:ascii="Consolas" w:hAnsi="Consolas" w:eastAsia="Consolas"/>
                <w:b w:val="0"/>
                <w:i w:val="0"/>
                <w:color w:val="222222"/>
                <w:sz w:val="17"/>
              </w:rPr>
              <w:t>├── 02_sales_enablement/                       # CAT-02: Sales Playbooks, Qualification &amp; Battlecards</w:t>
            </w:r>
          </w:p>
          <w:p>
            <w:pPr>
              <w:spacing w:after="20" w:line="252" w:lineRule="auto"/>
            </w:pPr>
            <w:r>
              <w:rPr>
                <w:rFonts w:ascii="Consolas" w:hAnsi="Consolas" w:eastAsia="Consolas"/>
                <w:b w:val="0"/>
                <w:i w:val="0"/>
                <w:color w:val="222222"/>
                <w:sz w:val="17"/>
              </w:rPr>
              <w:t>│   ├── README.md                              # Category Index &amp; Asset Summary</w:t>
            </w:r>
          </w:p>
          <w:p>
            <w:pPr>
              <w:spacing w:after="20" w:line="252" w:lineRule="auto"/>
            </w:pPr>
            <w:r>
              <w:rPr>
                <w:rFonts w:ascii="Consolas" w:hAnsi="Consolas" w:eastAsia="Consolas"/>
                <w:b w:val="0"/>
                <w:i w:val="0"/>
                <w:color w:val="222222"/>
                <w:sz w:val="17"/>
              </w:rPr>
              <w:t>│   ├── DOC-07_Enterprise_Sales_Playbook.md    # Master End-to-End Sales Operating Manual</w:t>
            </w:r>
          </w:p>
          <w:p>
            <w:pPr>
              <w:spacing w:after="20" w:line="252" w:lineRule="auto"/>
            </w:pPr>
            <w:r>
              <w:rPr>
                <w:rFonts w:ascii="Consolas" w:hAnsi="Consolas" w:eastAsia="Consolas"/>
                <w:b w:val="0"/>
                <w:i w:val="0"/>
                <w:color w:val="222222"/>
                <w:sz w:val="17"/>
              </w:rPr>
              <w:t>│   ├── DOC-08_Buyer_Persona_Matrix.md         # Multi-Stakeholder Buying Committee Profiles (CRO/CIO/CFO)</w:t>
            </w:r>
          </w:p>
          <w:p>
            <w:pPr>
              <w:spacing w:after="20" w:line="252" w:lineRule="auto"/>
            </w:pPr>
            <w:r>
              <w:rPr>
                <w:rFonts w:ascii="Consolas" w:hAnsi="Consolas" w:eastAsia="Consolas"/>
                <w:b w:val="0"/>
                <w:i w:val="0"/>
                <w:color w:val="222222"/>
                <w:sz w:val="17"/>
              </w:rPr>
              <w:t>│   ├── DOC-09_MEDDPIC_Deal_Qualification.md   # Deal Qualification Scorecard &amp; Discovery Questions</w:t>
            </w:r>
          </w:p>
          <w:p>
            <w:pPr>
              <w:spacing w:after="20" w:line="252" w:lineRule="auto"/>
            </w:pPr>
            <w:r>
              <w:rPr>
                <w:rFonts w:ascii="Consolas" w:hAnsi="Consolas" w:eastAsia="Consolas"/>
                <w:b w:val="0"/>
                <w:i w:val="0"/>
                <w:color w:val="222222"/>
                <w:sz w:val="17"/>
              </w:rPr>
              <w:t>│   ├── DOC-10_Objection_Handling_Battlecard.md# Pre-Scripted Answers to 25+ Banking Objections</w:t>
            </w:r>
          </w:p>
          <w:p>
            <w:pPr>
              <w:spacing w:after="20" w:line="252" w:lineRule="auto"/>
            </w:pPr>
            <w:r>
              <w:rPr>
                <w:rFonts w:ascii="Consolas" w:hAnsi="Consolas" w:eastAsia="Consolas"/>
                <w:b w:val="0"/>
                <w:i w:val="0"/>
                <w:color w:val="222222"/>
                <w:sz w:val="17"/>
              </w:rPr>
              <w:t>│   ├── DOC-11_Battlecard_ULMS_vs_Finastra.md  # Competitive Win Sheet: Finastra Fusion Loan IQ</w:t>
            </w:r>
          </w:p>
          <w:p>
            <w:pPr>
              <w:spacing w:after="20" w:line="252" w:lineRule="auto"/>
            </w:pPr>
            <w:r>
              <w:rPr>
                <w:rFonts w:ascii="Consolas" w:hAnsi="Consolas" w:eastAsia="Consolas"/>
                <w:b w:val="0"/>
                <w:i w:val="0"/>
                <w:color w:val="222222"/>
                <w:sz w:val="17"/>
              </w:rPr>
              <w:t>│   ├── DOC-12_Battlecard_ULMS_vs_Temenos.md   # Competitive Win Sheet: Temenos Transact &amp; LMS</w:t>
            </w:r>
          </w:p>
          <w:p>
            <w:pPr>
              <w:spacing w:after="20" w:line="252" w:lineRule="auto"/>
            </w:pPr>
            <w:r>
              <w:rPr>
                <w:rFonts w:ascii="Consolas" w:hAnsi="Consolas" w:eastAsia="Consolas"/>
                <w:b w:val="0"/>
                <w:i w:val="0"/>
                <w:color w:val="222222"/>
                <w:sz w:val="17"/>
              </w:rPr>
              <w:t>│   ├── DOC-13_Battlecard_ULMS_vs_FinnOne.md   # Competitive Win Sheet: Nucleus Software FinnOne Neo</w:t>
            </w:r>
          </w:p>
          <w:p>
            <w:pPr>
              <w:spacing w:after="20" w:line="252" w:lineRule="auto"/>
            </w:pPr>
            <w:r>
              <w:rPr>
                <w:rFonts w:ascii="Consolas" w:hAnsi="Consolas" w:eastAsia="Consolas"/>
                <w:b w:val="0"/>
                <w:i w:val="0"/>
                <w:color w:val="222222"/>
                <w:sz w:val="17"/>
              </w:rPr>
              <w:t>│   ├── DOC-14_Battlecard_ULMS_vs_Finacle.md   # Competitive Win Sheet: Infosys Finacle Lending</w:t>
            </w:r>
          </w:p>
          <w:p>
            <w:pPr>
              <w:spacing w:after="20" w:line="252" w:lineRule="auto"/>
            </w:pPr>
            <w:r>
              <w:rPr>
                <w:rFonts w:ascii="Consolas" w:hAnsi="Consolas" w:eastAsia="Consolas"/>
                <w:b w:val="0"/>
                <w:i w:val="0"/>
                <w:color w:val="222222"/>
                <w:sz w:val="17"/>
              </w:rPr>
              <w:t>│   └── DOC-15_Outbound_Outreach_Cadence.md    # 8-Touch Multi-Channel Outreach Sequences (Email/Phone)</w:t>
            </w:r>
          </w:p>
          <w:p>
            <w:pPr>
              <w:spacing w:after="20" w:line="252" w:lineRule="auto"/>
            </w:pPr>
            <w:r>
              <w:rPr>
                <w:rFonts w:ascii="Consolas" w:hAnsi="Consolas" w:eastAsia="Consolas"/>
                <w:b w:val="0"/>
                <w:i w:val="0"/>
                <w:color w:val="222222"/>
                <w:sz w:val="17"/>
              </w:rPr>
              <w:t>│</w:t>
            </w:r>
          </w:p>
          <w:p>
            <w:pPr>
              <w:spacing w:after="20" w:line="252" w:lineRule="auto"/>
            </w:pPr>
            <w:r>
              <w:rPr>
                <w:rFonts w:ascii="Consolas" w:hAnsi="Consolas" w:eastAsia="Consolas"/>
                <w:b w:val="0"/>
                <w:i w:val="0"/>
                <w:color w:val="222222"/>
                <w:sz w:val="17"/>
              </w:rPr>
              <w:t>├── 03_demos_and_solutions/                    # CAT-03: Demonstration Scripts &amp; Segment Solutions</w:t>
            </w:r>
          </w:p>
          <w:p>
            <w:pPr>
              <w:spacing w:after="20" w:line="252" w:lineRule="auto"/>
            </w:pPr>
            <w:r>
              <w:rPr>
                <w:rFonts w:ascii="Consolas" w:hAnsi="Consolas" w:eastAsia="Consolas"/>
                <w:b w:val="0"/>
                <w:i w:val="0"/>
                <w:color w:val="222222"/>
                <w:sz w:val="17"/>
              </w:rPr>
              <w:t>│   ├── README.md                              # Category Index &amp; Asset Summary</w:t>
            </w:r>
          </w:p>
          <w:p>
            <w:pPr>
              <w:spacing w:after="20" w:line="252" w:lineRule="auto"/>
            </w:pPr>
            <w:r>
              <w:rPr>
                <w:rFonts w:ascii="Consolas" w:hAnsi="Consolas" w:eastAsia="Consolas"/>
                <w:b w:val="0"/>
                <w:i w:val="0"/>
                <w:color w:val="222222"/>
                <w:sz w:val="17"/>
              </w:rPr>
              <w:t>│   ├── DOC-16_Master_Demo_Script_Role_Based.md# End-to-End Demo Script (Branch to Managing Director)</w:t>
            </w:r>
          </w:p>
          <w:p>
            <w:pPr>
              <w:spacing w:after="20" w:line="252" w:lineRule="auto"/>
            </w:pPr>
            <w:r>
              <w:rPr>
                <w:rFonts w:ascii="Consolas" w:hAnsi="Consolas" w:eastAsia="Consolas"/>
                <w:b w:val="0"/>
                <w:i w:val="0"/>
                <w:color w:val="222222"/>
                <w:sz w:val="17"/>
              </w:rPr>
              <w:t>│   ├── DOC-17_Interactive_Demo_Clickpath.md   # Step-by-Step UI Navigation &amp; Live Sandbox Guide</w:t>
            </w:r>
          </w:p>
          <w:p>
            <w:pPr>
              <w:spacing w:after="20" w:line="252" w:lineRule="auto"/>
            </w:pPr>
            <w:r>
              <w:rPr>
                <w:rFonts w:ascii="Consolas" w:hAnsi="Consolas" w:eastAsia="Consolas"/>
                <w:b w:val="0"/>
                <w:i w:val="0"/>
                <w:color w:val="222222"/>
                <w:sz w:val="17"/>
              </w:rPr>
              <w:t>│   ├── DOC-18_Solution_Brief_Retail.md        # Segment Brief: Retail Loans, Cards &amp; Mortgages</w:t>
            </w:r>
          </w:p>
          <w:p>
            <w:pPr>
              <w:spacing w:after="20" w:line="252" w:lineRule="auto"/>
            </w:pPr>
            <w:r>
              <w:rPr>
                <w:rFonts w:ascii="Consolas" w:hAnsi="Consolas" w:eastAsia="Consolas"/>
                <w:b w:val="0"/>
                <w:i w:val="0"/>
                <w:color w:val="222222"/>
                <w:sz w:val="17"/>
              </w:rPr>
              <w:t>│   ├── DOC-19_Solution_Brief_MSME_Agri.md     # Segment Brief: MSME, Factoring &amp; Agri Finance</w:t>
            </w:r>
          </w:p>
          <w:p>
            <w:pPr>
              <w:spacing w:after="20" w:line="252" w:lineRule="auto"/>
            </w:pPr>
            <w:r>
              <w:rPr>
                <w:rFonts w:ascii="Consolas" w:hAnsi="Consolas" w:eastAsia="Consolas"/>
                <w:b w:val="0"/>
                <w:i w:val="0"/>
                <w:color w:val="222222"/>
                <w:sz w:val="17"/>
              </w:rPr>
              <w:t>│   ├── DOC-20_Solution_Brief_Islamic.md       # Segment Brief: Shariah-Compliant Murabaha/Ijara/Musharaka</w:t>
            </w:r>
          </w:p>
          <w:p>
            <w:pPr>
              <w:spacing w:after="20" w:line="252" w:lineRule="auto"/>
            </w:pPr>
            <w:r>
              <w:rPr>
                <w:rFonts w:ascii="Consolas" w:hAnsi="Consolas" w:eastAsia="Consolas"/>
                <w:b w:val="0"/>
                <w:i w:val="0"/>
                <w:color w:val="222222"/>
                <w:sz w:val="17"/>
              </w:rPr>
              <w:t>│   ├── DOC-21_Solution_Brief_Corporate.md     # Segment Brief: Corporate Syndicated &amp; Consortium Credit</w:t>
            </w:r>
          </w:p>
          <w:p>
            <w:pPr>
              <w:spacing w:after="20" w:line="252" w:lineRule="auto"/>
            </w:pPr>
            <w:r>
              <w:rPr>
                <w:rFonts w:ascii="Consolas" w:hAnsi="Consolas" w:eastAsia="Consolas"/>
                <w:b w:val="0"/>
                <w:i w:val="0"/>
                <w:color w:val="222222"/>
                <w:sz w:val="17"/>
              </w:rPr>
              <w:t>│   └── DOC-22_Solution_Brief_Digital_Nano.md  # Segment Brief: MFS-Embedded Micro-Credit (bKash/Nagad)</w:t>
            </w:r>
          </w:p>
          <w:p>
            <w:pPr>
              <w:spacing w:after="20" w:line="252" w:lineRule="auto"/>
            </w:pPr>
            <w:r>
              <w:rPr>
                <w:rFonts w:ascii="Consolas" w:hAnsi="Consolas" w:eastAsia="Consolas"/>
                <w:b w:val="0"/>
                <w:i w:val="0"/>
                <w:color w:val="222222"/>
                <w:sz w:val="17"/>
              </w:rPr>
              <w:t>│</w:t>
            </w:r>
          </w:p>
          <w:p>
            <w:pPr>
              <w:spacing w:after="20" w:line="252" w:lineRule="auto"/>
            </w:pPr>
            <w:r>
              <w:rPr>
                <w:rFonts w:ascii="Consolas" w:hAnsi="Consolas" w:eastAsia="Consolas"/>
                <w:b w:val="0"/>
                <w:i w:val="0"/>
                <w:color w:val="222222"/>
                <w:sz w:val="17"/>
              </w:rPr>
              <w:t>├── 04_rfp_and_tenders/                        # CAT-04: Enterprise RFP, Tender &amp; Bidding Library</w:t>
            </w:r>
          </w:p>
          <w:p>
            <w:pPr>
              <w:spacing w:after="20" w:line="252" w:lineRule="auto"/>
            </w:pPr>
            <w:r>
              <w:rPr>
                <w:rFonts w:ascii="Consolas" w:hAnsi="Consolas" w:eastAsia="Consolas"/>
                <w:b w:val="0"/>
                <w:i w:val="0"/>
                <w:color w:val="222222"/>
                <w:sz w:val="17"/>
              </w:rPr>
              <w:t>│   ├── README.md                              # Category Index &amp; Asset Summary</w:t>
            </w:r>
          </w:p>
          <w:p>
            <w:pPr>
              <w:spacing w:after="20" w:line="252" w:lineRule="auto"/>
            </w:pPr>
            <w:r>
              <w:rPr>
                <w:rFonts w:ascii="Consolas" w:hAnsi="Consolas" w:eastAsia="Consolas"/>
                <w:b w:val="0"/>
                <w:i w:val="0"/>
                <w:color w:val="222222"/>
                <w:sz w:val="17"/>
              </w:rPr>
              <w:t>│   ├── DOC-23_Master_RFP_Technical_Proposal.md# Envelope-1: Master Technical Proposal Template</w:t>
            </w:r>
          </w:p>
          <w:p>
            <w:pPr>
              <w:spacing w:after="20" w:line="252" w:lineRule="auto"/>
            </w:pPr>
            <w:r>
              <w:rPr>
                <w:rFonts w:ascii="Consolas" w:hAnsi="Consolas" w:eastAsia="Consolas"/>
                <w:b w:val="0"/>
                <w:i w:val="0"/>
                <w:color w:val="222222"/>
                <w:sz w:val="17"/>
              </w:rPr>
              <w:t>│   ├── DOC-24_Master_RFP_Financial_Proposal.md# Envelope-2: Master Commercial Proposal &amp; Price Schedules</w:t>
            </w:r>
          </w:p>
          <w:p>
            <w:pPr>
              <w:spacing w:after="20" w:line="252" w:lineRule="auto"/>
            </w:pPr>
            <w:r>
              <w:rPr>
                <w:rFonts w:ascii="Consolas" w:hAnsi="Consolas" w:eastAsia="Consolas"/>
                <w:b w:val="0"/>
                <w:i w:val="0"/>
                <w:color w:val="222222"/>
                <w:sz w:val="17"/>
              </w:rPr>
              <w:t>│   ├── DOC-25_Vendor_PreQualification_EOI.md  # Expression of Interest (EOI) &amp; Statutory Profile</w:t>
            </w:r>
          </w:p>
          <w:p>
            <w:pPr>
              <w:spacing w:after="20" w:line="252" w:lineRule="auto"/>
            </w:pPr>
            <w:r>
              <w:rPr>
                <w:rFonts w:ascii="Consolas" w:hAnsi="Consolas" w:eastAsia="Consolas"/>
                <w:b w:val="0"/>
                <w:i w:val="0"/>
                <w:color w:val="222222"/>
                <w:sz w:val="17"/>
              </w:rPr>
              <w:t>│   ├── DOC-26_Functional_Compliance_Matrix.md # 160-Point Out-of-the-Box Requirement Library</w:t>
            </w:r>
          </w:p>
          <w:p>
            <w:pPr>
              <w:spacing w:after="20" w:line="252" w:lineRule="auto"/>
            </w:pPr>
            <w:r>
              <w:rPr>
                <w:rFonts w:ascii="Consolas" w:hAnsi="Consolas" w:eastAsia="Consolas"/>
                <w:b w:val="0"/>
                <w:i w:val="0"/>
                <w:color w:val="222222"/>
                <w:sz w:val="17"/>
              </w:rPr>
              <w:t>│   ├── DOC-27_Architecture_Integration_Annex.md# Technical Architecture, CBS &amp; External Rail Annex</w:t>
            </w:r>
          </w:p>
          <w:p>
            <w:pPr>
              <w:spacing w:after="20" w:line="252" w:lineRule="auto"/>
            </w:pPr>
            <w:r>
              <w:rPr>
                <w:rFonts w:ascii="Consolas" w:hAnsi="Consolas" w:eastAsia="Consolas"/>
                <w:b w:val="0"/>
                <w:i w:val="0"/>
                <w:color w:val="222222"/>
                <w:sz w:val="17"/>
              </w:rPr>
              <w:t>│   ├── DOC-28_ICT_Security_Compliance_Annex.md# BB ICT Guidelines V4.0 &amp; ISO 27001 Security Dossier</w:t>
            </w:r>
          </w:p>
          <w:p>
            <w:pPr>
              <w:spacing w:after="20" w:line="252" w:lineRule="auto"/>
            </w:pPr>
            <w:r>
              <w:rPr>
                <w:rFonts w:ascii="Consolas" w:hAnsi="Consolas" w:eastAsia="Consolas"/>
                <w:b w:val="0"/>
                <w:i w:val="0"/>
                <w:color w:val="222222"/>
                <w:sz w:val="17"/>
              </w:rPr>
              <w:t>│   ├── DOC-29_Implementation_Methodology.md   # 12-Week Pilot &amp; Phased Rollout Governance Charter</w:t>
            </w:r>
          </w:p>
          <w:p>
            <w:pPr>
              <w:spacing w:after="20" w:line="252" w:lineRule="auto"/>
            </w:pPr>
            <w:r>
              <w:rPr>
                <w:rFonts w:ascii="Consolas" w:hAnsi="Consolas" w:eastAsia="Consolas"/>
                <w:b w:val="0"/>
                <w:i w:val="0"/>
                <w:color w:val="222222"/>
                <w:sz w:val="17"/>
              </w:rPr>
              <w:t>│   └── DOC-30_SLA_Local_Support_Framework.md  # Disaster Recovery, High Availability &amp; Support Commitments</w:t>
            </w:r>
          </w:p>
          <w:p>
            <w:pPr>
              <w:spacing w:after="20" w:line="252" w:lineRule="auto"/>
            </w:pPr>
            <w:r>
              <w:rPr>
                <w:rFonts w:ascii="Consolas" w:hAnsi="Consolas" w:eastAsia="Consolas"/>
                <w:b w:val="0"/>
                <w:i w:val="0"/>
                <w:color w:val="222222"/>
                <w:sz w:val="17"/>
              </w:rPr>
              <w:t>│</w:t>
            </w:r>
          </w:p>
          <w:p>
            <w:pPr>
              <w:spacing w:after="20" w:line="252" w:lineRule="auto"/>
            </w:pPr>
            <w:r>
              <w:rPr>
                <w:rFonts w:ascii="Consolas" w:hAnsi="Consolas" w:eastAsia="Consolas"/>
                <w:b w:val="0"/>
                <w:i w:val="0"/>
                <w:color w:val="222222"/>
                <w:sz w:val="17"/>
              </w:rPr>
              <w:t>├── 05_commercial_and_pricing/                 # CAT-05: Pricing Models, TCO Calculators &amp; Contracts</w:t>
            </w:r>
          </w:p>
          <w:p>
            <w:pPr>
              <w:spacing w:after="20" w:line="252" w:lineRule="auto"/>
            </w:pPr>
            <w:r>
              <w:rPr>
                <w:rFonts w:ascii="Consolas" w:hAnsi="Consolas" w:eastAsia="Consolas"/>
                <w:b w:val="0"/>
                <w:i w:val="0"/>
                <w:color w:val="222222"/>
                <w:sz w:val="17"/>
              </w:rPr>
              <w:t>│   ├── README.md                              # Category Index &amp; Asset Summary</w:t>
            </w:r>
          </w:p>
          <w:p>
            <w:pPr>
              <w:spacing w:after="20" w:line="252" w:lineRule="auto"/>
            </w:pPr>
            <w:r>
              <w:rPr>
                <w:rFonts w:ascii="Consolas" w:hAnsi="Consolas" w:eastAsia="Consolas"/>
                <w:b w:val="0"/>
                <w:i w:val="0"/>
                <w:color w:val="222222"/>
                <w:sz w:val="17"/>
              </w:rPr>
              <w:t>│   ├── DOC-31_Commercial_Pricing_Matrix.md    # Tiered Pricing Models (Standard, Enterprise, Universal)</w:t>
            </w:r>
          </w:p>
          <w:p>
            <w:pPr>
              <w:spacing w:after="20" w:line="252" w:lineRule="auto"/>
            </w:pPr>
            <w:r>
              <w:rPr>
                <w:rFonts w:ascii="Consolas" w:hAnsi="Consolas" w:eastAsia="Consolas"/>
                <w:b w:val="0"/>
                <w:i w:val="0"/>
                <w:color w:val="222222"/>
                <w:sz w:val="17"/>
              </w:rPr>
              <w:t>│   ├── DOC-32_TCO_and_ROI_Calculator_Guide.md # 5-Year Financial Justification &amp; Break-Even Calculator</w:t>
            </w:r>
          </w:p>
          <w:p>
            <w:pPr>
              <w:spacing w:after="20" w:line="252" w:lineRule="auto"/>
            </w:pPr>
            <w:r>
              <w:rPr>
                <w:rFonts w:ascii="Consolas" w:hAnsi="Consolas" w:eastAsia="Consolas"/>
                <w:b w:val="0"/>
                <w:i w:val="0"/>
                <w:color w:val="222222"/>
                <w:sz w:val="17"/>
              </w:rPr>
              <w:t>│   ├── DOC-33_Professional_Services_Rate_Card.md# Customization, Migration &amp; Consulting Rate Card</w:t>
            </w:r>
          </w:p>
          <w:p>
            <w:pPr>
              <w:spacing w:after="20" w:line="252" w:lineRule="auto"/>
            </w:pPr>
            <w:r>
              <w:rPr>
                <w:rFonts w:ascii="Consolas" w:hAnsi="Consolas" w:eastAsia="Consolas"/>
                <w:b w:val="0"/>
                <w:i w:val="0"/>
                <w:color w:val="222222"/>
                <w:sz w:val="17"/>
              </w:rPr>
              <w:t>│   └── DOC-34_AMC_Support_Tier_Agreement.md   # 20% Annual Maintenance Contract Terms &amp; Escalations</w:t>
            </w:r>
          </w:p>
          <w:p>
            <w:pPr>
              <w:spacing w:after="20" w:line="252" w:lineRule="auto"/>
            </w:pPr>
            <w:r>
              <w:rPr>
                <w:rFonts w:ascii="Consolas" w:hAnsi="Consolas" w:eastAsia="Consolas"/>
                <w:b w:val="0"/>
                <w:i w:val="0"/>
                <w:color w:val="222222"/>
                <w:sz w:val="17"/>
              </w:rPr>
              <w:t>│</w:t>
            </w:r>
          </w:p>
          <w:p>
            <w:pPr>
              <w:spacing w:after="20" w:line="252" w:lineRule="auto"/>
            </w:pPr>
            <w:r>
              <w:rPr>
                <w:rFonts w:ascii="Consolas" w:hAnsi="Consolas" w:eastAsia="Consolas"/>
                <w:b w:val="0"/>
                <w:i w:val="0"/>
                <w:color w:val="222222"/>
                <w:sz w:val="17"/>
              </w:rPr>
              <w:t>├── 06_regulatory_whitepapers/                 # CAT-06: Bangladesh Bank Compliance &amp; Risk Dossiers</w:t>
            </w:r>
          </w:p>
          <w:p>
            <w:pPr>
              <w:spacing w:after="20" w:line="252" w:lineRule="auto"/>
            </w:pPr>
            <w:r>
              <w:rPr>
                <w:rFonts w:ascii="Consolas" w:hAnsi="Consolas" w:eastAsia="Consolas"/>
                <w:b w:val="0"/>
                <w:i w:val="0"/>
                <w:color w:val="222222"/>
                <w:sz w:val="17"/>
              </w:rPr>
              <w:t>│   ├── README.md                              # Category Index &amp; Asset Summary</w:t>
            </w:r>
          </w:p>
          <w:p>
            <w:pPr>
              <w:spacing w:after="20" w:line="252" w:lineRule="auto"/>
            </w:pPr>
            <w:r>
              <w:rPr>
                <w:rFonts w:ascii="Consolas" w:hAnsi="Consolas" w:eastAsia="Consolas"/>
                <w:b w:val="0"/>
                <w:i w:val="0"/>
                <w:color w:val="222222"/>
                <w:sz w:val="17"/>
              </w:rPr>
              <w:t>│   ├── DOC-35_BRPD_15_2024_Compliance_Paper.md# 7-Stage Classification &amp; Auto-Provisioning Whitepaper</w:t>
            </w:r>
          </w:p>
          <w:p>
            <w:pPr>
              <w:spacing w:after="20" w:line="252" w:lineRule="auto"/>
            </w:pPr>
            <w:r>
              <w:rPr>
                <w:rFonts w:ascii="Consolas" w:hAnsi="Consolas" w:eastAsia="Consolas"/>
                <w:b w:val="0"/>
                <w:i w:val="0"/>
                <w:color w:val="222222"/>
                <w:sz w:val="17"/>
              </w:rPr>
              <w:t>│   ├── DOC-36_IFRS9_ECL_Calculation_Dossier.md# Forward-Looking Staging &amp; Expected Credit Loss Engine</w:t>
            </w:r>
          </w:p>
          <w:p>
            <w:pPr>
              <w:spacing w:after="20" w:line="252" w:lineRule="auto"/>
            </w:pPr>
            <w:r>
              <w:rPr>
                <w:rFonts w:ascii="Consolas" w:hAnsi="Consolas" w:eastAsia="Consolas"/>
                <w:b w:val="0"/>
                <w:i w:val="0"/>
                <w:color w:val="222222"/>
                <w:sz w:val="17"/>
              </w:rPr>
              <w:t>│   ├── DOC-37_CIB_Online_Integration_Dossier.md# Automated Inquiry, Return Batching &amp; Dedupe Protocol</w:t>
            </w:r>
          </w:p>
          <w:p>
            <w:pPr>
              <w:spacing w:after="20" w:line="252" w:lineRule="auto"/>
            </w:pPr>
            <w:r>
              <w:rPr>
                <w:rFonts w:ascii="Consolas" w:hAnsi="Consolas" w:eastAsia="Consolas"/>
                <w:b w:val="0"/>
                <w:i w:val="0"/>
                <w:color w:val="222222"/>
                <w:sz w:val="17"/>
              </w:rPr>
              <w:t>│   └── DOC-38_AML_eKYC_BFIU_Compliance_Paper.md# Biometric NIDW, PEP Screening &amp; Beneficial Ownership</w:t>
            </w:r>
          </w:p>
          <w:p>
            <w:pPr>
              <w:spacing w:after="20" w:line="252" w:lineRule="auto"/>
            </w:pPr>
            <w:r>
              <w:rPr>
                <w:rFonts w:ascii="Consolas" w:hAnsi="Consolas" w:eastAsia="Consolas"/>
                <w:b w:val="0"/>
                <w:i w:val="0"/>
                <w:color w:val="222222"/>
                <w:sz w:val="17"/>
              </w:rPr>
              <w:t>│</w:t>
            </w:r>
          </w:p>
          <w:p>
            <w:pPr>
              <w:spacing w:after="20" w:line="252" w:lineRule="auto"/>
            </w:pPr>
            <w:r>
              <w:rPr>
                <w:rFonts w:ascii="Consolas" w:hAnsi="Consolas" w:eastAsia="Consolas"/>
                <w:b w:val="0"/>
                <w:i w:val="0"/>
                <w:color w:val="222222"/>
                <w:sz w:val="17"/>
              </w:rPr>
              <w:t>└── 07_poc_and_contracting/                    # CAT-07: Proof of Concept, Contracting &amp; Handoff</w:t>
            </w:r>
          </w:p>
          <w:p>
            <w:pPr>
              <w:spacing w:after="20" w:line="252" w:lineRule="auto"/>
            </w:pPr>
            <w:r>
              <w:rPr>
                <w:rFonts w:ascii="Consolas" w:hAnsi="Consolas" w:eastAsia="Consolas"/>
                <w:b w:val="0"/>
                <w:i w:val="0"/>
                <w:color w:val="222222"/>
                <w:sz w:val="17"/>
              </w:rPr>
              <w:t xml:space="preserve">    ├── README.md                              # Category Index &amp; Asset Summary</w:t>
            </w:r>
          </w:p>
          <w:p>
            <w:pPr>
              <w:spacing w:after="20" w:line="252" w:lineRule="auto"/>
            </w:pPr>
            <w:r>
              <w:rPr>
                <w:rFonts w:ascii="Consolas" w:hAnsi="Consolas" w:eastAsia="Consolas"/>
                <w:b w:val="0"/>
                <w:i w:val="0"/>
                <w:color w:val="222222"/>
                <w:sz w:val="17"/>
              </w:rPr>
              <w:t xml:space="preserve">    ├── DOC-39_PoC_Evaluation_Charter.md       # 14-Day Proof of Concept Scope &amp; Success Criteria</w:t>
            </w:r>
          </w:p>
          <w:p>
            <w:pPr>
              <w:spacing w:after="20" w:line="252" w:lineRule="auto"/>
            </w:pPr>
            <w:r>
              <w:rPr>
                <w:rFonts w:ascii="Consolas" w:hAnsi="Consolas" w:eastAsia="Consolas"/>
                <w:b w:val="0"/>
                <w:i w:val="0"/>
                <w:color w:val="222222"/>
                <w:sz w:val="17"/>
              </w:rPr>
              <w:t xml:space="preserve">    ├── DOC-40_Master_Software_License_Agrmt.md# Enterprise Master Software License Agreement (MSLA)</w:t>
            </w:r>
          </w:p>
          <w:p>
            <w:pPr>
              <w:spacing w:after="20" w:line="252" w:lineRule="auto"/>
            </w:pPr>
            <w:r>
              <w:rPr>
                <w:rFonts w:ascii="Consolas" w:hAnsi="Consolas" w:eastAsia="Consolas"/>
                <w:b w:val="0"/>
                <w:i w:val="0"/>
                <w:color w:val="222222"/>
                <w:sz w:val="17"/>
              </w:rPr>
              <w:t xml:space="preserve">    ├── DOC-41_Service_Level_Agreement_Contract.md# Legally Enforceable Institutional SLA Schedule</w:t>
            </w:r>
          </w:p>
          <w:p>
            <w:pPr>
              <w:spacing w:after="20" w:line="252" w:lineRule="auto"/>
            </w:pPr>
            <w:r>
              <w:rPr>
                <w:rFonts w:ascii="Consolas" w:hAnsi="Consolas" w:eastAsia="Consolas"/>
                <w:b w:val="0"/>
                <w:i w:val="0"/>
                <w:color w:val="222222"/>
                <w:sz w:val="17"/>
              </w:rPr>
              <w:t xml:space="preserve">    └── DOC-42_Sales_to_Delivery_Handoff.md    # Transition Charter from Sales to Implementation Team</w:t>
            </w:r>
          </w:p>
        </w:tc>
      </w:tr>
    </w:tbl>
    <w:p>
      <w:pPr>
        <w:spacing w:after="80"/>
      </w:pPr>
    </w:p>
    <w:p>
      <w:pPr>
        <w:pStyle w:val="Heading2"/>
        <w:keepNext/>
      </w:pPr>
      <w:r>
        <w:t>4. Master Categorical Taxonomy &amp; Document Index</w:t>
      </w:r>
    </w:p>
    <w:p>
      <w:pPr>
        <w:keepNext/>
        <w:spacing w:before="160" w:after="40"/>
        <w:jc w:val="center"/>
      </w:pPr>
      <w:r>
        <w:drawing>
          <wp:inline xmlns:a="http://schemas.openxmlformats.org/drawingml/2006/main" xmlns:pic="http://schemas.openxmlformats.org/drawingml/2006/picture">
            <wp:extent cx="5688000" cy="2342118"/>
            <wp:docPr id="5" name="Picture 5" descr="Deployment topology diagram" title="Figure 5: Deployment Topology — Active-Active Dual Datacenter (DC/DR) Cluster"/>
            <wp:cNvGraphicFramePr>
              <a:graphicFrameLocks noChangeAspect="1"/>
            </wp:cNvGraphicFramePr>
            <a:graphic>
              <a:graphicData uri="http://schemas.openxmlformats.org/drawingml/2006/picture">
                <pic:pic>
                  <pic:nvPicPr>
                    <pic:cNvPr id="0" name="E6_topology.png"/>
                    <pic:cNvPicPr/>
                  </pic:nvPicPr>
                  <pic:blipFill>
                    <a:blip r:embed="rId15"/>
                    <a:stretch>
                      <a:fillRect/>
                    </a:stretch>
                  </pic:blipFill>
                  <pic:spPr>
                    <a:xfrm>
                      <a:off x="0" y="0"/>
                      <a:ext cx="5688000" cy="2342118"/>
                    </a:xfrm>
                    <a:prstGeom prst="rect"/>
                  </pic:spPr>
                </pic:pic>
              </a:graphicData>
            </a:graphic>
          </wp:inline>
        </w:drawing>
      </w:r>
    </w:p>
    <w:p>
      <w:pPr>
        <w:spacing w:before="40" w:after="160"/>
        <w:jc w:val="center"/>
      </w:pPr>
      <w:r>
        <w:rPr>
          <w:rFonts w:ascii="Calibri" w:hAnsi="Calibri" w:eastAsia="Calibri"/>
          <w:b/>
          <w:i/>
          <w:color w:val="555555"/>
          <w:sz w:val="17"/>
        </w:rPr>
        <w:t>Figure 5: Deployment Topology — Active-Active Dual Datacenter (DC/DR) Cluster</w:t>
      </w:r>
    </w:p>
    <w:p>
      <w:pPr>
        <w:spacing w:after="80" w:line="276" w:lineRule="auto"/>
      </w:pPr>
      <w:r>
        <w:rPr>
          <w:rFonts w:ascii="Calibri" w:hAnsi="Calibri" w:eastAsia="Calibri"/>
          <w:b w:val="0"/>
          <w:i w:val="0"/>
          <w:color w:val="222222"/>
          <w:sz w:val="19"/>
        </w:rPr>
        <w:t>The 42 essential business documents are distributed across seven strategic categories:</w:t>
      </w:r>
    </w:p>
    <w:tbl>
      <w:tblPr>
        <w:tblStyle w:val="TableGrid"/>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606"/>
        <w:gridCol w:w="1606"/>
        <w:gridCol w:w="1606"/>
        <w:gridCol w:w="1606"/>
        <w:gridCol w:w="1606"/>
        <w:gridCol w:w="1606"/>
      </w:tblGrid>
      <w:tr>
        <w:trPr>
          <w:tblHeader w:val="true"/>
          <w:cantSplit/>
        </w:trPr>
        <w:tc>
          <w:tcPr>
            <w:tcW w:type="dxa" w:w="1417"/>
            <w:shd w:fill="1E2660"/>
            <w:tcMar>
              <w:top w:w="140" w:type="dxa"/>
              <w:bottom w:w="140" w:type="dxa"/>
              <w:left w:w="180" w:type="dxa"/>
              <w:right w:w="180" w:type="dxa"/>
            </w:tcMar>
          </w:tcPr>
          <w:p>
            <w:pPr>
              <w:spacing w:after="40"/>
            </w:pPr>
            <w:r>
              <w:rPr>
                <w:rFonts w:ascii="Calibri" w:hAnsi="Calibri" w:eastAsia="Calibri"/>
                <w:b/>
                <w:i w:val="0"/>
                <w:color w:val="FFFFFF"/>
                <w:sz w:val="18"/>
              </w:rPr>
              <w:t>Category ID</w:t>
            </w:r>
          </w:p>
        </w:tc>
        <w:tc>
          <w:tcPr>
            <w:tcW w:type="dxa" w:w="1417"/>
            <w:shd w:fill="1E2660"/>
            <w:tcMar>
              <w:top w:w="140" w:type="dxa"/>
              <w:bottom w:w="140" w:type="dxa"/>
              <w:left w:w="180" w:type="dxa"/>
              <w:right w:w="180" w:type="dxa"/>
            </w:tcMar>
          </w:tcPr>
          <w:p>
            <w:pPr>
              <w:spacing w:after="40"/>
            </w:pPr>
            <w:r>
              <w:rPr>
                <w:rFonts w:ascii="Calibri" w:hAnsi="Calibri" w:eastAsia="Calibri"/>
                <w:b/>
                <w:i w:val="0"/>
                <w:color w:val="FFFFFF"/>
                <w:sz w:val="18"/>
              </w:rPr>
              <w:t>Category Name</w:t>
            </w:r>
          </w:p>
        </w:tc>
        <w:tc>
          <w:tcPr>
            <w:tcW w:type="dxa" w:w="1701"/>
            <w:shd w:fill="1E2660"/>
            <w:tcMar>
              <w:top w:w="140" w:type="dxa"/>
              <w:bottom w:w="140" w:type="dxa"/>
              <w:left w:w="180" w:type="dxa"/>
              <w:right w:w="180" w:type="dxa"/>
            </w:tcMar>
          </w:tcPr>
          <w:p>
            <w:pPr>
              <w:spacing w:after="40"/>
            </w:pPr>
            <w:r>
              <w:rPr>
                <w:rFonts w:ascii="Calibri" w:hAnsi="Calibri" w:eastAsia="Calibri"/>
                <w:b/>
                <w:i w:val="0"/>
                <w:color w:val="FFFFFF"/>
                <w:sz w:val="18"/>
              </w:rPr>
              <w:t>Primary Objective</w:t>
            </w:r>
          </w:p>
        </w:tc>
        <w:tc>
          <w:tcPr>
            <w:tcW w:type="dxa" w:w="1701"/>
            <w:shd w:fill="1E2660"/>
            <w:tcMar>
              <w:top w:w="140" w:type="dxa"/>
              <w:bottom w:w="140" w:type="dxa"/>
              <w:left w:w="180" w:type="dxa"/>
              <w:right w:w="180" w:type="dxa"/>
            </w:tcMar>
          </w:tcPr>
          <w:p>
            <w:pPr>
              <w:spacing w:after="40"/>
            </w:pPr>
            <w:r>
              <w:rPr>
                <w:rFonts w:ascii="Calibri" w:hAnsi="Calibri" w:eastAsia="Calibri"/>
                <w:b/>
                <w:i w:val="0"/>
                <w:color w:val="FFFFFF"/>
                <w:sz w:val="18"/>
              </w:rPr>
              <w:t>Sales Funnel Stage</w:t>
            </w:r>
          </w:p>
        </w:tc>
        <w:tc>
          <w:tcPr>
            <w:tcW w:type="dxa" w:w="1701"/>
            <w:shd w:fill="1E2660"/>
            <w:tcMar>
              <w:top w:w="140" w:type="dxa"/>
              <w:bottom w:w="140" w:type="dxa"/>
              <w:left w:w="180" w:type="dxa"/>
              <w:right w:w="180" w:type="dxa"/>
            </w:tcMar>
          </w:tcPr>
          <w:p>
            <w:pPr>
              <w:spacing w:after="40"/>
            </w:pPr>
            <w:r>
              <w:rPr>
                <w:rFonts w:ascii="Calibri" w:hAnsi="Calibri" w:eastAsia="Calibri"/>
                <w:b/>
                <w:i w:val="0"/>
                <w:color w:val="FFFFFF"/>
                <w:sz w:val="18"/>
              </w:rPr>
              <w:t>Target Document Count</w:t>
            </w:r>
          </w:p>
        </w:tc>
        <w:tc>
          <w:tcPr>
            <w:tcW w:type="dxa" w:w="1701"/>
            <w:shd w:fill="1E2660"/>
            <w:tcMar>
              <w:top w:w="140" w:type="dxa"/>
              <w:bottom w:w="140" w:type="dxa"/>
              <w:left w:w="180" w:type="dxa"/>
              <w:right w:w="180" w:type="dxa"/>
            </w:tcMar>
          </w:tcPr>
          <w:p>
            <w:pPr>
              <w:spacing w:after="40"/>
            </w:pPr>
            <w:r>
              <w:rPr>
                <w:rFonts w:ascii="Calibri" w:hAnsi="Calibri" w:eastAsia="Calibri"/>
                <w:b/>
                <w:i w:val="0"/>
                <w:color w:val="FFFFFF"/>
                <w:sz w:val="18"/>
              </w:rPr>
              <w:t>Document Code Range</w:t>
            </w:r>
          </w:p>
        </w:tc>
      </w:tr>
      <w:tr>
        <w:trPr>
          <w:cantSplit/>
        </w:trPr>
        <w:tc>
          <w:tcPr>
            <w:tcW w:type="dxa" w:w="1417"/>
            <w:tcMar>
              <w:top w:w="120" w:type="dxa"/>
              <w:bottom w:w="120" w:type="dxa"/>
              <w:left w:w="160" w:type="dxa"/>
              <w:right w:w="160" w:type="dxa"/>
            </w:tcMar>
          </w:tcPr>
          <w:p>
            <w:pPr>
              <w:spacing w:after="40" w:line="276" w:lineRule="auto"/>
            </w:pPr>
            <w:r>
              <w:rPr>
                <w:rFonts w:ascii="Calibri" w:hAnsi="Calibri" w:eastAsia="Calibri"/>
                <w:b/>
                <w:i w:val="0"/>
                <w:color w:val="222222"/>
                <w:sz w:val="18"/>
              </w:rPr>
              <w:t>CAT-01</w:t>
            </w:r>
          </w:p>
        </w:tc>
        <w:tc>
          <w:tcPr>
            <w:tcW w:type="dxa" w:w="1417"/>
            <w:tcMar>
              <w:top w:w="120" w:type="dxa"/>
              <w:bottom w:w="120" w:type="dxa"/>
              <w:left w:w="160" w:type="dxa"/>
              <w:right w:w="160" w:type="dxa"/>
            </w:tcMar>
          </w:tcPr>
          <w:p>
            <w:pPr>
              <w:spacing w:after="40" w:line="276" w:lineRule="auto"/>
            </w:pPr>
            <w:r>
              <w:rPr>
                <w:rFonts w:ascii="Calibri" w:hAnsi="Calibri" w:eastAsia="Calibri"/>
                <w:b/>
                <w:i w:val="0"/>
                <w:color w:val="222222"/>
                <w:sz w:val="18"/>
              </w:rPr>
              <w:t>Strategic Market Positioning &amp; Brand Collateral</w:t>
            </w:r>
          </w:p>
        </w:tc>
        <w:tc>
          <w:tcPr>
            <w:tcW w:type="dxa" w:w="1701"/>
            <w:tcMar>
              <w:top w:w="120" w:type="dxa"/>
              <w:bottom w:w="120" w:type="dxa"/>
              <w:left w:w="160" w:type="dxa"/>
              <w:right w:w="160" w:type="dxa"/>
            </w:tcMar>
          </w:tcPr>
          <w:p>
            <w:pPr>
              <w:spacing w:after="40" w:line="276" w:lineRule="auto"/>
            </w:pPr>
            <w:r>
              <w:rPr>
                <w:rFonts w:ascii="Calibri" w:hAnsi="Calibri" w:eastAsia="Calibri"/>
                <w:b w:val="0"/>
                <w:i w:val="0"/>
                <w:color w:val="222222"/>
                <w:sz w:val="18"/>
              </w:rPr>
              <w:t>Establish market leadership and executive credibility</w:t>
            </w:r>
          </w:p>
        </w:tc>
        <w:tc>
          <w:tcPr>
            <w:tcW w:type="dxa" w:w="1701"/>
            <w:tcMar>
              <w:top w:w="120" w:type="dxa"/>
              <w:bottom w:w="120" w:type="dxa"/>
              <w:left w:w="160" w:type="dxa"/>
              <w:right w:w="160" w:type="dxa"/>
            </w:tcMar>
          </w:tcPr>
          <w:p>
            <w:pPr>
              <w:spacing w:after="40" w:line="276" w:lineRule="auto"/>
            </w:pPr>
            <w:r>
              <w:rPr>
                <w:rFonts w:ascii="Calibri" w:hAnsi="Calibri" w:eastAsia="Calibri"/>
                <w:b w:val="0"/>
                <w:i w:val="0"/>
                <w:color w:val="222222"/>
                <w:sz w:val="18"/>
              </w:rPr>
              <w:t>Pre-Sales / Awareness</w:t>
            </w:r>
          </w:p>
        </w:tc>
        <w:tc>
          <w:tcPr>
            <w:tcW w:type="dxa" w:w="1701"/>
            <w:tcMar>
              <w:top w:w="120" w:type="dxa"/>
              <w:bottom w:w="120" w:type="dxa"/>
              <w:left w:w="160" w:type="dxa"/>
              <w:right w:w="160" w:type="dxa"/>
            </w:tcMar>
          </w:tcPr>
          <w:p>
            <w:pPr>
              <w:spacing w:after="40" w:line="276" w:lineRule="auto"/>
            </w:pPr>
            <w:r>
              <w:rPr>
                <w:rFonts w:ascii="Calibri" w:hAnsi="Calibri" w:eastAsia="Calibri"/>
                <w:b w:val="0"/>
                <w:i w:val="0"/>
                <w:color w:val="222222"/>
                <w:sz w:val="18"/>
              </w:rPr>
              <w:t>6 Documents</w:t>
            </w:r>
          </w:p>
        </w:tc>
        <w:tc>
          <w:tcPr>
            <w:tcW w:type="dxa" w:w="1701"/>
            <w:tcMar>
              <w:top w:w="120" w:type="dxa"/>
              <w:bottom w:w="120" w:type="dxa"/>
              <w:left w:w="160" w:type="dxa"/>
              <w:right w:w="160" w:type="dxa"/>
            </w:tcMar>
          </w:tcPr>
          <w:p>
            <w:pPr>
              <w:spacing w:after="40" w:line="276" w:lineRule="auto"/>
            </w:pPr>
            <w:r>
              <w:rPr>
                <w:rFonts w:ascii="Consolas" w:hAnsi="Consolas" w:eastAsia="Consolas"/>
                <w:b w:val="0"/>
                <w:i w:val="0"/>
                <w:color w:val="8B0000"/>
                <w:sz w:val="17"/>
              </w:rPr>
              <w:t>DOC-01</w:t>
            </w:r>
            <w:r>
              <w:rPr>
                <w:rFonts w:ascii="Calibri" w:hAnsi="Calibri" w:eastAsia="Calibri"/>
                <w:b w:val="0"/>
                <w:i w:val="0"/>
                <w:color w:val="222222"/>
                <w:sz w:val="18"/>
              </w:rPr>
              <w:t xml:space="preserve"> to </w:t>
            </w:r>
            <w:r>
              <w:rPr>
                <w:rFonts w:ascii="Consolas" w:hAnsi="Consolas" w:eastAsia="Consolas"/>
                <w:b w:val="0"/>
                <w:i w:val="0"/>
                <w:color w:val="8B0000"/>
                <w:sz w:val="17"/>
              </w:rPr>
              <w:t>DOC-06</w:t>
            </w:r>
          </w:p>
        </w:tc>
      </w:tr>
      <w:tr>
        <w:trPr>
          <w:cantSplit/>
        </w:trPr>
        <w:tc>
          <w:tcPr>
            <w:tcW w:type="dxa" w:w="1417"/>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CAT-02</w:t>
            </w:r>
          </w:p>
        </w:tc>
        <w:tc>
          <w:tcPr>
            <w:tcW w:type="dxa" w:w="1417"/>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Sales Enablement, Playbooks &amp; Discovery Toolkit</w:t>
            </w:r>
          </w:p>
        </w:tc>
        <w:tc>
          <w:tcPr>
            <w:tcW w:type="dxa" w:w="1701"/>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Equip sales reps with qualification playbooks and competitor battlecards</w:t>
            </w:r>
          </w:p>
        </w:tc>
        <w:tc>
          <w:tcPr>
            <w:tcW w:type="dxa" w:w="1701"/>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Discovery &amp; Qualification</w:t>
            </w:r>
          </w:p>
        </w:tc>
        <w:tc>
          <w:tcPr>
            <w:tcW w:type="dxa" w:w="1701"/>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9 Documents</w:t>
            </w:r>
          </w:p>
        </w:tc>
        <w:tc>
          <w:tcPr>
            <w:tcW w:type="dxa" w:w="1701"/>
            <w:shd w:fill="F0F2FB"/>
            <w:tcMar>
              <w:top w:w="120" w:type="dxa"/>
              <w:bottom w:w="120" w:type="dxa"/>
              <w:left w:w="160" w:type="dxa"/>
              <w:right w:w="160" w:type="dxa"/>
            </w:tcMar>
          </w:tcPr>
          <w:p>
            <w:pPr>
              <w:spacing w:after="40" w:line="276" w:lineRule="auto"/>
            </w:pPr>
            <w:r>
              <w:rPr>
                <w:rFonts w:ascii="Consolas" w:hAnsi="Consolas" w:eastAsia="Consolas"/>
                <w:b w:val="0"/>
                <w:i w:val="0"/>
                <w:color w:val="8B0000"/>
                <w:sz w:val="17"/>
              </w:rPr>
              <w:t>DOC-07</w:t>
            </w:r>
            <w:r>
              <w:rPr>
                <w:rFonts w:ascii="Calibri" w:hAnsi="Calibri" w:eastAsia="Calibri"/>
                <w:b w:val="0"/>
                <w:i w:val="0"/>
                <w:color w:val="222222"/>
                <w:sz w:val="18"/>
              </w:rPr>
              <w:t xml:space="preserve"> to </w:t>
            </w:r>
            <w:r>
              <w:rPr>
                <w:rFonts w:ascii="Consolas" w:hAnsi="Consolas" w:eastAsia="Consolas"/>
                <w:b w:val="0"/>
                <w:i w:val="0"/>
                <w:color w:val="8B0000"/>
                <w:sz w:val="17"/>
              </w:rPr>
              <w:t>DOC-15</w:t>
            </w:r>
          </w:p>
        </w:tc>
      </w:tr>
      <w:tr>
        <w:trPr>
          <w:cantSplit/>
        </w:trPr>
        <w:tc>
          <w:tcPr>
            <w:tcW w:type="dxa" w:w="1417"/>
            <w:tcMar>
              <w:top w:w="120" w:type="dxa"/>
              <w:bottom w:w="120" w:type="dxa"/>
              <w:left w:w="160" w:type="dxa"/>
              <w:right w:w="160" w:type="dxa"/>
            </w:tcMar>
          </w:tcPr>
          <w:p>
            <w:pPr>
              <w:spacing w:after="40" w:line="276" w:lineRule="auto"/>
            </w:pPr>
            <w:r>
              <w:rPr>
                <w:rFonts w:ascii="Calibri" w:hAnsi="Calibri" w:eastAsia="Calibri"/>
                <w:b/>
                <w:i w:val="0"/>
                <w:color w:val="222222"/>
                <w:sz w:val="18"/>
              </w:rPr>
              <w:t>CAT-03</w:t>
            </w:r>
          </w:p>
        </w:tc>
        <w:tc>
          <w:tcPr>
            <w:tcW w:type="dxa" w:w="1417"/>
            <w:tcMar>
              <w:top w:w="120" w:type="dxa"/>
              <w:bottom w:w="120" w:type="dxa"/>
              <w:left w:w="160" w:type="dxa"/>
              <w:right w:w="160" w:type="dxa"/>
            </w:tcMar>
          </w:tcPr>
          <w:p>
            <w:pPr>
              <w:spacing w:after="40" w:line="276" w:lineRule="auto"/>
            </w:pPr>
            <w:r>
              <w:rPr>
                <w:rFonts w:ascii="Calibri" w:hAnsi="Calibri" w:eastAsia="Calibri"/>
                <w:b/>
                <w:i w:val="0"/>
                <w:color w:val="222222"/>
                <w:sz w:val="18"/>
              </w:rPr>
              <w:t>Product Demos, Solutions &amp; Segment Collateral</w:t>
            </w:r>
          </w:p>
        </w:tc>
        <w:tc>
          <w:tcPr>
            <w:tcW w:type="dxa" w:w="1701"/>
            <w:tcMar>
              <w:top w:w="120" w:type="dxa"/>
              <w:bottom w:w="120" w:type="dxa"/>
              <w:left w:w="160" w:type="dxa"/>
              <w:right w:w="160" w:type="dxa"/>
            </w:tcMar>
          </w:tcPr>
          <w:p>
            <w:pPr>
              <w:spacing w:after="40" w:line="276" w:lineRule="auto"/>
            </w:pPr>
            <w:r>
              <w:rPr>
                <w:rFonts w:ascii="Calibri" w:hAnsi="Calibri" w:eastAsia="Calibri"/>
                <w:b w:val="0"/>
                <w:i w:val="0"/>
                <w:color w:val="222222"/>
                <w:sz w:val="18"/>
              </w:rPr>
              <w:t>Deliver compelling demonstrations and tailor solutions to bank business lines</w:t>
            </w:r>
          </w:p>
        </w:tc>
        <w:tc>
          <w:tcPr>
            <w:tcW w:type="dxa" w:w="1701"/>
            <w:tcMar>
              <w:top w:w="120" w:type="dxa"/>
              <w:bottom w:w="120" w:type="dxa"/>
              <w:left w:w="160" w:type="dxa"/>
              <w:right w:w="160" w:type="dxa"/>
            </w:tcMar>
          </w:tcPr>
          <w:p>
            <w:pPr>
              <w:spacing w:after="40" w:line="276" w:lineRule="auto"/>
            </w:pPr>
            <w:r>
              <w:rPr>
                <w:rFonts w:ascii="Calibri" w:hAnsi="Calibri" w:eastAsia="Calibri"/>
                <w:b w:val="0"/>
                <w:i w:val="0"/>
                <w:color w:val="222222"/>
                <w:sz w:val="18"/>
              </w:rPr>
              <w:t>Solution Mapping &amp; Demo</w:t>
            </w:r>
          </w:p>
        </w:tc>
        <w:tc>
          <w:tcPr>
            <w:tcW w:type="dxa" w:w="1701"/>
            <w:tcMar>
              <w:top w:w="120" w:type="dxa"/>
              <w:bottom w:w="120" w:type="dxa"/>
              <w:left w:w="160" w:type="dxa"/>
              <w:right w:w="160" w:type="dxa"/>
            </w:tcMar>
          </w:tcPr>
          <w:p>
            <w:pPr>
              <w:spacing w:after="40" w:line="276" w:lineRule="auto"/>
            </w:pPr>
            <w:r>
              <w:rPr>
                <w:rFonts w:ascii="Calibri" w:hAnsi="Calibri" w:eastAsia="Calibri"/>
                <w:b w:val="0"/>
                <w:i w:val="0"/>
                <w:color w:val="222222"/>
                <w:sz w:val="18"/>
              </w:rPr>
              <w:t>7 Documents</w:t>
            </w:r>
          </w:p>
        </w:tc>
        <w:tc>
          <w:tcPr>
            <w:tcW w:type="dxa" w:w="1701"/>
            <w:tcMar>
              <w:top w:w="120" w:type="dxa"/>
              <w:bottom w:w="120" w:type="dxa"/>
              <w:left w:w="160" w:type="dxa"/>
              <w:right w:w="160" w:type="dxa"/>
            </w:tcMar>
          </w:tcPr>
          <w:p>
            <w:pPr>
              <w:spacing w:after="40" w:line="276" w:lineRule="auto"/>
            </w:pPr>
            <w:r>
              <w:rPr>
                <w:rFonts w:ascii="Consolas" w:hAnsi="Consolas" w:eastAsia="Consolas"/>
                <w:b w:val="0"/>
                <w:i w:val="0"/>
                <w:color w:val="8B0000"/>
                <w:sz w:val="17"/>
              </w:rPr>
              <w:t>DOC-16</w:t>
            </w:r>
            <w:r>
              <w:rPr>
                <w:rFonts w:ascii="Calibri" w:hAnsi="Calibri" w:eastAsia="Calibri"/>
                <w:b w:val="0"/>
                <w:i w:val="0"/>
                <w:color w:val="222222"/>
                <w:sz w:val="18"/>
              </w:rPr>
              <w:t xml:space="preserve"> to </w:t>
            </w:r>
            <w:r>
              <w:rPr>
                <w:rFonts w:ascii="Consolas" w:hAnsi="Consolas" w:eastAsia="Consolas"/>
                <w:b w:val="0"/>
                <w:i w:val="0"/>
                <w:color w:val="8B0000"/>
                <w:sz w:val="17"/>
              </w:rPr>
              <w:t>DOC-22</w:t>
            </w:r>
          </w:p>
        </w:tc>
      </w:tr>
      <w:tr>
        <w:trPr>
          <w:cantSplit/>
        </w:trPr>
        <w:tc>
          <w:tcPr>
            <w:tcW w:type="dxa" w:w="1417"/>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CAT-04</w:t>
            </w:r>
          </w:p>
        </w:tc>
        <w:tc>
          <w:tcPr>
            <w:tcW w:type="dxa" w:w="1417"/>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Enterprise Bid, RFP &amp; Tender Master Library</w:t>
            </w:r>
          </w:p>
        </w:tc>
        <w:tc>
          <w:tcPr>
            <w:tcW w:type="dxa" w:w="1701"/>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Supply pre-packaged, winning responses for banking tenders</w:t>
            </w:r>
          </w:p>
        </w:tc>
        <w:tc>
          <w:tcPr>
            <w:tcW w:type="dxa" w:w="1701"/>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Formal Tender Bidding</w:t>
            </w:r>
          </w:p>
        </w:tc>
        <w:tc>
          <w:tcPr>
            <w:tcW w:type="dxa" w:w="1701"/>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8 Documents</w:t>
            </w:r>
          </w:p>
        </w:tc>
        <w:tc>
          <w:tcPr>
            <w:tcW w:type="dxa" w:w="1701"/>
            <w:shd w:fill="F0F2FB"/>
            <w:tcMar>
              <w:top w:w="120" w:type="dxa"/>
              <w:bottom w:w="120" w:type="dxa"/>
              <w:left w:w="160" w:type="dxa"/>
              <w:right w:w="160" w:type="dxa"/>
            </w:tcMar>
          </w:tcPr>
          <w:p>
            <w:pPr>
              <w:spacing w:after="40" w:line="276" w:lineRule="auto"/>
            </w:pPr>
            <w:r>
              <w:rPr>
                <w:rFonts w:ascii="Consolas" w:hAnsi="Consolas" w:eastAsia="Consolas"/>
                <w:b w:val="0"/>
                <w:i w:val="0"/>
                <w:color w:val="8B0000"/>
                <w:sz w:val="17"/>
              </w:rPr>
              <w:t>DOC-23</w:t>
            </w:r>
            <w:r>
              <w:rPr>
                <w:rFonts w:ascii="Calibri" w:hAnsi="Calibri" w:eastAsia="Calibri"/>
                <w:b w:val="0"/>
                <w:i w:val="0"/>
                <w:color w:val="222222"/>
                <w:sz w:val="18"/>
              </w:rPr>
              <w:t xml:space="preserve"> to </w:t>
            </w:r>
            <w:r>
              <w:rPr>
                <w:rFonts w:ascii="Consolas" w:hAnsi="Consolas" w:eastAsia="Consolas"/>
                <w:b w:val="0"/>
                <w:i w:val="0"/>
                <w:color w:val="8B0000"/>
                <w:sz w:val="17"/>
              </w:rPr>
              <w:t>DOC-30</w:t>
            </w:r>
          </w:p>
        </w:tc>
      </w:tr>
      <w:tr>
        <w:trPr>
          <w:cantSplit/>
        </w:trPr>
        <w:tc>
          <w:tcPr>
            <w:tcW w:type="dxa" w:w="1417"/>
            <w:tcMar>
              <w:top w:w="120" w:type="dxa"/>
              <w:bottom w:w="120" w:type="dxa"/>
              <w:left w:w="160" w:type="dxa"/>
              <w:right w:w="160" w:type="dxa"/>
            </w:tcMar>
          </w:tcPr>
          <w:p>
            <w:pPr>
              <w:spacing w:after="40" w:line="276" w:lineRule="auto"/>
            </w:pPr>
            <w:r>
              <w:rPr>
                <w:rFonts w:ascii="Calibri" w:hAnsi="Calibri" w:eastAsia="Calibri"/>
                <w:b/>
                <w:i w:val="0"/>
                <w:color w:val="222222"/>
                <w:sz w:val="18"/>
              </w:rPr>
              <w:t>CAT-05</w:t>
            </w:r>
          </w:p>
        </w:tc>
        <w:tc>
          <w:tcPr>
            <w:tcW w:type="dxa" w:w="1417"/>
            <w:tcMar>
              <w:top w:w="120" w:type="dxa"/>
              <w:bottom w:w="120" w:type="dxa"/>
              <w:left w:w="160" w:type="dxa"/>
              <w:right w:w="160" w:type="dxa"/>
            </w:tcMar>
          </w:tcPr>
          <w:p>
            <w:pPr>
              <w:spacing w:after="40" w:line="276" w:lineRule="auto"/>
            </w:pPr>
            <w:r>
              <w:rPr>
                <w:rFonts w:ascii="Calibri" w:hAnsi="Calibri" w:eastAsia="Calibri"/>
                <w:b/>
                <w:i w:val="0"/>
                <w:color w:val="222222"/>
                <w:sz w:val="18"/>
              </w:rPr>
              <w:t>Commercial Models, Pricing &amp; TCO/ROI Justification</w:t>
            </w:r>
          </w:p>
        </w:tc>
        <w:tc>
          <w:tcPr>
            <w:tcW w:type="dxa" w:w="1701"/>
            <w:tcMar>
              <w:top w:w="120" w:type="dxa"/>
              <w:bottom w:w="120" w:type="dxa"/>
              <w:left w:w="160" w:type="dxa"/>
              <w:right w:w="160" w:type="dxa"/>
            </w:tcMar>
          </w:tcPr>
          <w:p>
            <w:pPr>
              <w:spacing w:after="40" w:line="276" w:lineRule="auto"/>
            </w:pPr>
            <w:r>
              <w:rPr>
                <w:rFonts w:ascii="Calibri" w:hAnsi="Calibri" w:eastAsia="Calibri"/>
                <w:b w:val="0"/>
                <w:i w:val="0"/>
                <w:color w:val="222222"/>
                <w:sz w:val="18"/>
              </w:rPr>
              <w:t>Provide defensible financial structures, pricing, and ROI proof</w:t>
            </w:r>
          </w:p>
        </w:tc>
        <w:tc>
          <w:tcPr>
            <w:tcW w:type="dxa" w:w="1701"/>
            <w:tcMar>
              <w:top w:w="120" w:type="dxa"/>
              <w:bottom w:w="120" w:type="dxa"/>
              <w:left w:w="160" w:type="dxa"/>
              <w:right w:w="160" w:type="dxa"/>
            </w:tcMar>
          </w:tcPr>
          <w:p>
            <w:pPr>
              <w:spacing w:after="40" w:line="276" w:lineRule="auto"/>
            </w:pPr>
            <w:r>
              <w:rPr>
                <w:rFonts w:ascii="Calibri" w:hAnsi="Calibri" w:eastAsia="Calibri"/>
                <w:b w:val="0"/>
                <w:i w:val="0"/>
                <w:color w:val="222222"/>
                <w:sz w:val="18"/>
              </w:rPr>
              <w:t>Commercial Negotiation</w:t>
            </w:r>
          </w:p>
        </w:tc>
        <w:tc>
          <w:tcPr>
            <w:tcW w:type="dxa" w:w="1701"/>
            <w:tcMar>
              <w:top w:w="120" w:type="dxa"/>
              <w:bottom w:w="120" w:type="dxa"/>
              <w:left w:w="160" w:type="dxa"/>
              <w:right w:w="160" w:type="dxa"/>
            </w:tcMar>
          </w:tcPr>
          <w:p>
            <w:pPr>
              <w:spacing w:after="40" w:line="276" w:lineRule="auto"/>
            </w:pPr>
            <w:r>
              <w:rPr>
                <w:rFonts w:ascii="Calibri" w:hAnsi="Calibri" w:eastAsia="Calibri"/>
                <w:b w:val="0"/>
                <w:i w:val="0"/>
                <w:color w:val="222222"/>
                <w:sz w:val="18"/>
              </w:rPr>
              <w:t>4 Documents</w:t>
            </w:r>
          </w:p>
        </w:tc>
        <w:tc>
          <w:tcPr>
            <w:tcW w:type="dxa" w:w="1701"/>
            <w:tcMar>
              <w:top w:w="120" w:type="dxa"/>
              <w:bottom w:w="120" w:type="dxa"/>
              <w:left w:w="160" w:type="dxa"/>
              <w:right w:w="160" w:type="dxa"/>
            </w:tcMar>
          </w:tcPr>
          <w:p>
            <w:pPr>
              <w:spacing w:after="40" w:line="276" w:lineRule="auto"/>
            </w:pPr>
            <w:r>
              <w:rPr>
                <w:rFonts w:ascii="Consolas" w:hAnsi="Consolas" w:eastAsia="Consolas"/>
                <w:b w:val="0"/>
                <w:i w:val="0"/>
                <w:color w:val="8B0000"/>
                <w:sz w:val="17"/>
              </w:rPr>
              <w:t>DOC-31</w:t>
            </w:r>
            <w:r>
              <w:rPr>
                <w:rFonts w:ascii="Calibri" w:hAnsi="Calibri" w:eastAsia="Calibri"/>
                <w:b w:val="0"/>
                <w:i w:val="0"/>
                <w:color w:val="222222"/>
                <w:sz w:val="18"/>
              </w:rPr>
              <w:t xml:space="preserve"> to </w:t>
            </w:r>
            <w:r>
              <w:rPr>
                <w:rFonts w:ascii="Consolas" w:hAnsi="Consolas" w:eastAsia="Consolas"/>
                <w:b w:val="0"/>
                <w:i w:val="0"/>
                <w:color w:val="8B0000"/>
                <w:sz w:val="17"/>
              </w:rPr>
              <w:t>DOC-34</w:t>
            </w:r>
          </w:p>
        </w:tc>
      </w:tr>
      <w:tr>
        <w:trPr>
          <w:cantSplit/>
        </w:trPr>
        <w:tc>
          <w:tcPr>
            <w:tcW w:type="dxa" w:w="1417"/>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CAT-06</w:t>
            </w:r>
          </w:p>
        </w:tc>
        <w:tc>
          <w:tcPr>
            <w:tcW w:type="dxa" w:w="1417"/>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Regulatory Alignment &amp; Risk Assurance Whitepapers</w:t>
            </w:r>
          </w:p>
        </w:tc>
        <w:tc>
          <w:tcPr>
            <w:tcW w:type="dxa" w:w="1701"/>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Satisfy compliance, risk, and legal gatekeepers with technical proof</w:t>
            </w:r>
          </w:p>
        </w:tc>
        <w:tc>
          <w:tcPr>
            <w:tcW w:type="dxa" w:w="1701"/>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Due Diligence &amp; Clearance</w:t>
            </w:r>
          </w:p>
        </w:tc>
        <w:tc>
          <w:tcPr>
            <w:tcW w:type="dxa" w:w="1701"/>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4 Documents</w:t>
            </w:r>
          </w:p>
        </w:tc>
        <w:tc>
          <w:tcPr>
            <w:tcW w:type="dxa" w:w="1701"/>
            <w:shd w:fill="F0F2FB"/>
            <w:tcMar>
              <w:top w:w="120" w:type="dxa"/>
              <w:bottom w:w="120" w:type="dxa"/>
              <w:left w:w="160" w:type="dxa"/>
              <w:right w:w="160" w:type="dxa"/>
            </w:tcMar>
          </w:tcPr>
          <w:p>
            <w:pPr>
              <w:spacing w:after="40" w:line="276" w:lineRule="auto"/>
            </w:pPr>
            <w:r>
              <w:rPr>
                <w:rFonts w:ascii="Consolas" w:hAnsi="Consolas" w:eastAsia="Consolas"/>
                <w:b w:val="0"/>
                <w:i w:val="0"/>
                <w:color w:val="8B0000"/>
                <w:sz w:val="17"/>
              </w:rPr>
              <w:t>DOC-35</w:t>
            </w:r>
            <w:r>
              <w:rPr>
                <w:rFonts w:ascii="Calibri" w:hAnsi="Calibri" w:eastAsia="Calibri"/>
                <w:b w:val="0"/>
                <w:i w:val="0"/>
                <w:color w:val="222222"/>
                <w:sz w:val="18"/>
              </w:rPr>
              <w:t xml:space="preserve"> to </w:t>
            </w:r>
            <w:r>
              <w:rPr>
                <w:rFonts w:ascii="Consolas" w:hAnsi="Consolas" w:eastAsia="Consolas"/>
                <w:b w:val="0"/>
                <w:i w:val="0"/>
                <w:color w:val="8B0000"/>
                <w:sz w:val="17"/>
              </w:rPr>
              <w:t>DOC-38</w:t>
            </w:r>
          </w:p>
        </w:tc>
      </w:tr>
      <w:tr>
        <w:trPr>
          <w:cantSplit/>
        </w:trPr>
        <w:tc>
          <w:tcPr>
            <w:tcW w:type="dxa" w:w="1417"/>
            <w:tcMar>
              <w:top w:w="120" w:type="dxa"/>
              <w:bottom w:w="120" w:type="dxa"/>
              <w:left w:w="160" w:type="dxa"/>
              <w:right w:w="160" w:type="dxa"/>
            </w:tcMar>
          </w:tcPr>
          <w:p>
            <w:pPr>
              <w:spacing w:after="40" w:line="276" w:lineRule="auto"/>
            </w:pPr>
            <w:r>
              <w:rPr>
                <w:rFonts w:ascii="Calibri" w:hAnsi="Calibri" w:eastAsia="Calibri"/>
                <w:b/>
                <w:i w:val="0"/>
                <w:color w:val="222222"/>
                <w:sz w:val="18"/>
              </w:rPr>
              <w:t>CAT-07</w:t>
            </w:r>
          </w:p>
        </w:tc>
        <w:tc>
          <w:tcPr>
            <w:tcW w:type="dxa" w:w="1417"/>
            <w:tcMar>
              <w:top w:w="120" w:type="dxa"/>
              <w:bottom w:w="120" w:type="dxa"/>
              <w:left w:w="160" w:type="dxa"/>
              <w:right w:w="160" w:type="dxa"/>
            </w:tcMar>
          </w:tcPr>
          <w:p>
            <w:pPr>
              <w:spacing w:after="40" w:line="276" w:lineRule="auto"/>
            </w:pPr>
            <w:r>
              <w:rPr>
                <w:rFonts w:ascii="Calibri" w:hAnsi="Calibri" w:eastAsia="Calibri"/>
                <w:b/>
                <w:i w:val="0"/>
                <w:color w:val="222222"/>
                <w:sz w:val="18"/>
              </w:rPr>
              <w:t>Proof of Concept (PoC), Contracting &amp; Onboarding</w:t>
            </w:r>
          </w:p>
        </w:tc>
        <w:tc>
          <w:tcPr>
            <w:tcW w:type="dxa" w:w="1701"/>
            <w:tcMar>
              <w:top w:w="120" w:type="dxa"/>
              <w:bottom w:w="120" w:type="dxa"/>
              <w:left w:w="160" w:type="dxa"/>
              <w:right w:w="160" w:type="dxa"/>
            </w:tcMar>
          </w:tcPr>
          <w:p>
            <w:pPr>
              <w:spacing w:after="40" w:line="276" w:lineRule="auto"/>
            </w:pPr>
            <w:r>
              <w:rPr>
                <w:rFonts w:ascii="Calibri" w:hAnsi="Calibri" w:eastAsia="Calibri"/>
                <w:b w:val="0"/>
                <w:i w:val="0"/>
                <w:color w:val="222222"/>
                <w:sz w:val="18"/>
              </w:rPr>
              <w:t>Bounded evaluation, institutional contracting, and clean delivery handoff</w:t>
            </w:r>
          </w:p>
        </w:tc>
        <w:tc>
          <w:tcPr>
            <w:tcW w:type="dxa" w:w="1701"/>
            <w:tcMar>
              <w:top w:w="120" w:type="dxa"/>
              <w:bottom w:w="120" w:type="dxa"/>
              <w:left w:w="160" w:type="dxa"/>
              <w:right w:w="160" w:type="dxa"/>
            </w:tcMar>
          </w:tcPr>
          <w:p>
            <w:pPr>
              <w:spacing w:after="40" w:line="276" w:lineRule="auto"/>
            </w:pPr>
            <w:r>
              <w:rPr>
                <w:rFonts w:ascii="Calibri" w:hAnsi="Calibri" w:eastAsia="Calibri"/>
                <w:b w:val="0"/>
                <w:i w:val="0"/>
                <w:color w:val="222222"/>
                <w:sz w:val="18"/>
              </w:rPr>
              <w:t>Deal Closing &amp; Handoff</w:t>
            </w:r>
          </w:p>
        </w:tc>
        <w:tc>
          <w:tcPr>
            <w:tcW w:type="dxa" w:w="1701"/>
            <w:tcMar>
              <w:top w:w="120" w:type="dxa"/>
              <w:bottom w:w="120" w:type="dxa"/>
              <w:left w:w="160" w:type="dxa"/>
              <w:right w:w="160" w:type="dxa"/>
            </w:tcMar>
          </w:tcPr>
          <w:p>
            <w:pPr>
              <w:spacing w:after="40" w:line="276" w:lineRule="auto"/>
            </w:pPr>
            <w:r>
              <w:rPr>
                <w:rFonts w:ascii="Calibri" w:hAnsi="Calibri" w:eastAsia="Calibri"/>
                <w:b w:val="0"/>
                <w:i w:val="0"/>
                <w:color w:val="222222"/>
                <w:sz w:val="18"/>
              </w:rPr>
              <w:t>4 Documents</w:t>
            </w:r>
          </w:p>
        </w:tc>
        <w:tc>
          <w:tcPr>
            <w:tcW w:type="dxa" w:w="1701"/>
            <w:tcMar>
              <w:top w:w="120" w:type="dxa"/>
              <w:bottom w:w="120" w:type="dxa"/>
              <w:left w:w="160" w:type="dxa"/>
              <w:right w:w="160" w:type="dxa"/>
            </w:tcMar>
          </w:tcPr>
          <w:p>
            <w:pPr>
              <w:spacing w:after="40" w:line="276" w:lineRule="auto"/>
            </w:pPr>
            <w:r>
              <w:rPr>
                <w:rFonts w:ascii="Consolas" w:hAnsi="Consolas" w:eastAsia="Consolas"/>
                <w:b w:val="0"/>
                <w:i w:val="0"/>
                <w:color w:val="8B0000"/>
                <w:sz w:val="17"/>
              </w:rPr>
              <w:t>DOC-39</w:t>
            </w:r>
            <w:r>
              <w:rPr>
                <w:rFonts w:ascii="Calibri" w:hAnsi="Calibri" w:eastAsia="Calibri"/>
                <w:b w:val="0"/>
                <w:i w:val="0"/>
                <w:color w:val="222222"/>
                <w:sz w:val="18"/>
              </w:rPr>
              <w:t xml:space="preserve"> to </w:t>
            </w:r>
            <w:r>
              <w:rPr>
                <w:rFonts w:ascii="Consolas" w:hAnsi="Consolas" w:eastAsia="Consolas"/>
                <w:b w:val="0"/>
                <w:i w:val="0"/>
                <w:color w:val="8B0000"/>
                <w:sz w:val="17"/>
              </w:rPr>
              <w:t>DOC-42</w:t>
            </w:r>
          </w:p>
        </w:tc>
      </w:tr>
    </w:tbl>
    <w:p>
      <w:pPr>
        <w:spacing w:after="80"/>
      </w:pPr>
    </w:p>
    <w:p>
      <w:pPr>
        <w:pStyle w:val="Heading2"/>
        <w:keepNext/>
      </w:pPr>
      <w:r>
        <w:t>5. Exhaustive Specification of Essential Documents (DOC-01 to DOC-42)</w:t>
      </w:r>
    </w:p>
    <w:p>
      <w:pPr>
        <w:keepNext/>
        <w:spacing w:before="160" w:after="40"/>
        <w:jc w:val="center"/>
      </w:pPr>
      <w:r>
        <w:drawing>
          <wp:inline xmlns:a="http://schemas.openxmlformats.org/drawingml/2006/main" xmlns:pic="http://schemas.openxmlformats.org/drawingml/2006/picture">
            <wp:extent cx="5688000" cy="1436248"/>
            <wp:docPr id="6" name="Picture 6" descr="Key performance indicators" title="Figure 6: Executive Proof — Quantified TCO Reductions, TAT Acceleration &amp; Payback Metrics"/>
            <wp:cNvGraphicFramePr>
              <a:graphicFrameLocks noChangeAspect="1"/>
            </wp:cNvGraphicFramePr>
            <a:graphic>
              <a:graphicData uri="http://schemas.openxmlformats.org/drawingml/2006/picture">
                <pic:pic>
                  <pic:nvPicPr>
                    <pic:cNvPr id="0" name="E7_kpis.png"/>
                    <pic:cNvPicPr/>
                  </pic:nvPicPr>
                  <pic:blipFill>
                    <a:blip r:embed="rId16"/>
                    <a:stretch>
                      <a:fillRect/>
                    </a:stretch>
                  </pic:blipFill>
                  <pic:spPr>
                    <a:xfrm>
                      <a:off x="0" y="0"/>
                      <a:ext cx="5688000" cy="1436248"/>
                    </a:xfrm>
                    <a:prstGeom prst="rect"/>
                  </pic:spPr>
                </pic:pic>
              </a:graphicData>
            </a:graphic>
          </wp:inline>
        </w:drawing>
      </w:r>
    </w:p>
    <w:p>
      <w:pPr>
        <w:spacing w:before="40" w:after="160"/>
        <w:jc w:val="center"/>
      </w:pPr>
      <w:r>
        <w:rPr>
          <w:rFonts w:ascii="Calibri" w:hAnsi="Calibri" w:eastAsia="Calibri"/>
          <w:b/>
          <w:i/>
          <w:color w:val="555555"/>
          <w:sz w:val="17"/>
        </w:rPr>
        <w:t>Figure 6: Executive Proof — Quantified TCO Reductions, TAT Acceleration &amp; Payback Metrics</w:t>
      </w:r>
    </w:p>
    <w:p>
      <w:pPr>
        <w:pStyle w:val="Heading3"/>
        <w:keepNext/>
      </w:pPr>
      <w:r>
        <w:t>CATEGORY 1: STRATEGIC MARKET POSITIONING &amp; BRAND COLLATERAL (CAT-01)</w:t>
      </w:r>
    </w:p>
    <w:p>
      <w:pPr>
        <w:keepNext/>
        <w:spacing w:before="160" w:after="40"/>
      </w:pPr>
      <w:r>
        <w:rPr>
          <w:rFonts w:ascii="Calibri" w:hAnsi="Calibri" w:eastAsia="Calibri"/>
          <w:b/>
          <w:i w:val="0"/>
          <w:color w:val="1E2660"/>
          <w:sz w:val="20"/>
        </w:rPr>
        <w:t>DOC-01: Product Overview Brochure &amp; Solution Brief</w:t>
      </w:r>
    </w:p>
    <w:p>
      <w:pPr>
        <w:pStyle w:val="ListBullet"/>
        <w:spacing w:after="40" w:line="276" w:lineRule="auto"/>
      </w:pPr>
      <w:r>
        <w:rPr>
          <w:rFonts w:ascii="Calibri" w:hAnsi="Calibri" w:eastAsia="Calibri"/>
          <w:b/>
          <w:i w:val="0"/>
          <w:color w:val="222222"/>
          <w:sz w:val="19"/>
        </w:rPr>
        <w:t>Target File Path:</w:t>
      </w:r>
      <w:r>
        <w:rPr>
          <w:rFonts w:ascii="Calibri" w:hAnsi="Calibri" w:eastAsia="Calibri"/>
          <w:b w:val="0"/>
          <w:i w:val="0"/>
          <w:color w:val="222222"/>
          <w:sz w:val="19"/>
        </w:rPr>
        <w:t xml:space="preserve"> </w:t>
      </w:r>
      <w:r>
        <w:rPr>
          <w:rFonts w:ascii="Consolas" w:hAnsi="Consolas" w:eastAsia="Consolas"/>
          <w:b w:val="0"/>
          <w:i w:val="0"/>
          <w:color w:val="8B0000"/>
          <w:sz w:val="18"/>
        </w:rPr>
        <w:t>business_document/01_strategic_marketing/DOC-01_Product_Overview_Brochure.md</w:t>
      </w:r>
    </w:p>
    <w:p>
      <w:pPr>
        <w:pStyle w:val="ListBullet"/>
        <w:spacing w:after="40" w:line="276" w:lineRule="auto"/>
      </w:pPr>
      <w:r>
        <w:rPr>
          <w:rFonts w:ascii="Calibri" w:hAnsi="Calibri" w:eastAsia="Calibri"/>
          <w:b/>
          <w:i w:val="0"/>
          <w:color w:val="222222"/>
          <w:sz w:val="19"/>
        </w:rPr>
        <w:t>Lifecycle Phase:</w:t>
      </w:r>
      <w:r>
        <w:rPr>
          <w:rFonts w:ascii="Calibri" w:hAnsi="Calibri" w:eastAsia="Calibri"/>
          <w:b w:val="0"/>
          <w:i w:val="0"/>
          <w:color w:val="222222"/>
          <w:sz w:val="19"/>
        </w:rPr>
        <w:t xml:space="preserve"> Awareness &amp; Inbound Lead Generation</w:t>
      </w:r>
    </w:p>
    <w:p>
      <w:pPr>
        <w:pStyle w:val="ListBullet"/>
        <w:spacing w:after="40" w:line="276" w:lineRule="auto"/>
      </w:pPr>
      <w:r>
        <w:rPr>
          <w:rFonts w:ascii="Calibri" w:hAnsi="Calibri" w:eastAsia="Calibri"/>
          <w:b/>
          <w:i w:val="0"/>
          <w:color w:val="222222"/>
          <w:sz w:val="19"/>
        </w:rPr>
        <w:t>Target Audience:</w:t>
      </w:r>
      <w:r>
        <w:rPr>
          <w:rFonts w:ascii="Calibri" w:hAnsi="Calibri" w:eastAsia="Calibri"/>
          <w:b w:val="0"/>
          <w:i w:val="0"/>
          <w:color w:val="222222"/>
          <w:sz w:val="19"/>
        </w:rPr>
        <w:t xml:space="preserve"> Managing Directors, Deputy Managing Directors (DMDs), Chief Operating Officers (COOs), Heads of Credit</w:t>
      </w:r>
    </w:p>
    <w:p>
      <w:pPr>
        <w:pStyle w:val="ListBullet"/>
        <w:spacing w:after="40" w:line="276" w:lineRule="auto"/>
      </w:pPr>
      <w:r>
        <w:rPr>
          <w:rFonts w:ascii="Calibri" w:hAnsi="Calibri" w:eastAsia="Calibri"/>
          <w:b/>
          <w:i w:val="0"/>
          <w:color w:val="222222"/>
          <w:sz w:val="19"/>
        </w:rPr>
        <w:t>Operational Purpose:</w:t>
      </w:r>
      <w:r>
        <w:rPr>
          <w:rFonts w:ascii="Calibri" w:hAnsi="Calibri" w:eastAsia="Calibri"/>
          <w:b w:val="0"/>
          <w:i w:val="0"/>
          <w:color w:val="222222"/>
          <w:sz w:val="19"/>
        </w:rPr>
        <w:t xml:space="preserve"> A high-impact, visual executive document summarizing the ULMS platform capabilities, core architectural highlights, measurable business outcomes, and Bangladesh banking suitability.</w:t>
      </w:r>
    </w:p>
    <w:p>
      <w:pPr>
        <w:pStyle w:val="ListBullet"/>
        <w:spacing w:after="40" w:line="276" w:lineRule="auto"/>
      </w:pPr>
      <w:r>
        <w:rPr>
          <w:rFonts w:ascii="Calibri" w:hAnsi="Calibri" w:eastAsia="Calibri"/>
          <w:b/>
          <w:i w:val="0"/>
          <w:color w:val="222222"/>
          <w:sz w:val="19"/>
        </w:rPr>
        <w:t>Detailed Table of Contents:</w:t>
      </w:r>
    </w:p>
    <w:p>
      <w:pPr>
        <w:spacing w:after="80" w:line="276" w:lineRule="auto"/>
      </w:pPr>
      <w:r>
        <w:rPr>
          <w:rFonts w:ascii="Calibri" w:hAnsi="Calibri" w:eastAsia="Calibri"/>
          <w:b w:val="0"/>
          <w:i w:val="0"/>
          <w:color w:val="222222"/>
          <w:sz w:val="19"/>
        </w:rPr>
        <w:t>1. Executive Problem Statement: The Crisis of Manual Lending in Bangladesh</w:t>
      </w:r>
    </w:p>
    <w:p>
      <w:pPr>
        <w:spacing w:after="80" w:line="276" w:lineRule="auto"/>
      </w:pPr>
      <w:r>
        <w:rPr>
          <w:rFonts w:ascii="Calibri" w:hAnsi="Calibri" w:eastAsia="Calibri"/>
          <w:b w:val="0"/>
          <w:i w:val="0"/>
          <w:color w:val="222222"/>
          <w:sz w:val="19"/>
        </w:rPr>
        <w:t>2. Introducing ULMS v2.0: The Next-Generation Core Lending Platform</w:t>
      </w:r>
    </w:p>
    <w:p>
      <w:pPr>
        <w:spacing w:after="80" w:line="276" w:lineRule="auto"/>
      </w:pPr>
      <w:r>
        <w:rPr>
          <w:rFonts w:ascii="Calibri" w:hAnsi="Calibri" w:eastAsia="Calibri"/>
          <w:b w:val="0"/>
          <w:i w:val="0"/>
          <w:color w:val="222222"/>
          <w:sz w:val="19"/>
        </w:rPr>
        <w:t>3. Four Pillars of Value: Operational Velocity, Regulatory Immunity, Cost Leadership, Seamless Interoperability</w:t>
      </w:r>
    </w:p>
    <w:p>
      <w:pPr>
        <w:spacing w:after="80" w:line="276" w:lineRule="auto"/>
      </w:pPr>
      <w:r>
        <w:rPr>
          <w:rFonts w:ascii="Calibri" w:hAnsi="Calibri" w:eastAsia="Calibri"/>
          <w:b w:val="0"/>
          <w:i w:val="0"/>
          <w:color w:val="222222"/>
          <w:sz w:val="19"/>
        </w:rPr>
        <w:t>4. Core Module Architecture: Origination, Assessment, Approval, Servicing, Collections, Regulatory Returns</w:t>
      </w:r>
    </w:p>
    <w:p>
      <w:pPr>
        <w:spacing w:after="80" w:line="276" w:lineRule="auto"/>
      </w:pPr>
      <w:r>
        <w:rPr>
          <w:rFonts w:ascii="Calibri" w:hAnsi="Calibri" w:eastAsia="Calibri"/>
          <w:b w:val="0"/>
          <w:i w:val="0"/>
          <w:color w:val="222222"/>
          <w:sz w:val="19"/>
        </w:rPr>
        <w:t>5. Dual-Engine Capability: Conventional vs. Islamic Shariah Financing Modes</w:t>
      </w:r>
    </w:p>
    <w:p>
      <w:pPr>
        <w:spacing w:after="80" w:line="276" w:lineRule="auto"/>
      </w:pPr>
      <w:r>
        <w:rPr>
          <w:rFonts w:ascii="Calibri" w:hAnsi="Calibri" w:eastAsia="Calibri"/>
          <w:b w:val="0"/>
          <w:i w:val="0"/>
          <w:color w:val="222222"/>
          <w:sz w:val="19"/>
        </w:rPr>
        <w:t>6. Key Architectural Highlights: Modular Monolith, Open REST APIs, On-Premises Air-Gapped Deployment</w:t>
      </w:r>
    </w:p>
    <w:p>
      <w:pPr>
        <w:spacing w:after="80" w:line="276" w:lineRule="auto"/>
      </w:pPr>
      <w:r>
        <w:rPr>
          <w:rFonts w:ascii="Calibri" w:hAnsi="Calibri" w:eastAsia="Calibri"/>
          <w:b w:val="0"/>
          <w:i w:val="0"/>
          <w:color w:val="222222"/>
          <w:sz w:val="19"/>
        </w:rPr>
        <w:t>7. Proven Financial Metrics: 85% TAT Reduction, 40% Underwriting Efficiency Gain, Zero Compliance Penalties</w:t>
      </w:r>
    </w:p>
    <w:p>
      <w:pPr>
        <w:spacing w:after="80" w:line="276" w:lineRule="auto"/>
      </w:pPr>
      <w:r>
        <w:rPr>
          <w:rFonts w:ascii="Calibri" w:hAnsi="Calibri" w:eastAsia="Calibri"/>
          <w:b w:val="0"/>
          <w:i w:val="0"/>
          <w:color w:val="222222"/>
          <w:sz w:val="19"/>
        </w:rPr>
        <w:t>8. Unisoft Systems Limited: Institutional Pedigree, Parent Company Backing, and Client Footprint</w:t>
      </w:r>
    </w:p>
    <w:p>
      <w:pPr>
        <w:pStyle w:val="ListBullet"/>
        <w:spacing w:after="40" w:line="276" w:lineRule="auto"/>
      </w:pPr>
      <w:r>
        <w:rPr>
          <w:rFonts w:ascii="Calibri" w:hAnsi="Calibri" w:eastAsia="Calibri"/>
          <w:b/>
          <w:i w:val="0"/>
          <w:color w:val="222222"/>
          <w:sz w:val="19"/>
        </w:rPr>
        <w:t>Core Value Proposition:</w:t>
      </w:r>
      <w:r>
        <w:rPr>
          <w:rFonts w:ascii="Calibri" w:hAnsi="Calibri" w:eastAsia="Calibri"/>
          <w:b w:val="0"/>
          <w:i w:val="0"/>
          <w:color w:val="222222"/>
          <w:sz w:val="19"/>
        </w:rPr>
        <w:t xml:space="preserve"> Position ULMS as the only enterprise-grade digital lending platform designed natively for Bangladesh regulations, combining global architectural excellence with hyper-local operational compliance.</w:t>
      </w:r>
    </w:p>
    <w:p>
      <w:pPr>
        <w:pStyle w:val="ListBullet"/>
        <w:spacing w:after="40" w:line="276" w:lineRule="auto"/>
      </w:pPr>
      <w:r>
        <w:rPr>
          <w:rFonts w:ascii="Calibri" w:hAnsi="Calibri" w:eastAsia="Calibri"/>
          <w:b/>
          <w:i w:val="0"/>
          <w:color w:val="222222"/>
          <w:sz w:val="19"/>
        </w:rPr>
        <w:t>Required Inputs &amp; Exhibits:</w:t>
      </w:r>
      <w:r>
        <w:rPr>
          <w:rFonts w:ascii="Calibri" w:hAnsi="Calibri" w:eastAsia="Calibri"/>
          <w:b w:val="0"/>
          <w:i w:val="0"/>
          <w:color w:val="222222"/>
          <w:sz w:val="19"/>
        </w:rPr>
        <w:t xml:space="preserve"> High-level platform infographic, module topology grid, customer impact metrics chart.</w:t>
      </w:r>
    </w:p>
    <w:p>
      <w:pPr>
        <w:pStyle w:val="ListBullet"/>
        <w:spacing w:after="40" w:line="276" w:lineRule="auto"/>
      </w:pPr>
      <w:r>
        <w:rPr>
          <w:rFonts w:ascii="Calibri" w:hAnsi="Calibri" w:eastAsia="Calibri"/>
          <w:b/>
          <w:i w:val="0"/>
          <w:color w:val="222222"/>
          <w:sz w:val="19"/>
        </w:rPr>
        <w:t>Maintenance Owner:</w:t>
      </w:r>
      <w:r>
        <w:rPr>
          <w:rFonts w:ascii="Calibri" w:hAnsi="Calibri" w:eastAsia="Calibri"/>
          <w:b w:val="0"/>
          <w:i w:val="0"/>
          <w:color w:val="222222"/>
          <w:sz w:val="19"/>
        </w:rPr>
        <w:t xml:space="preserve"> Lead Product Marketer (Quarterly Update).</w:t>
      </w:r>
    </w:p>
    <w:p>
      <w:pPr>
        <w:keepNext/>
        <w:spacing w:before="160" w:after="40"/>
      </w:pPr>
      <w:r>
        <w:rPr>
          <w:rFonts w:ascii="Calibri" w:hAnsi="Calibri" w:eastAsia="Calibri"/>
          <w:b/>
          <w:i w:val="0"/>
          <w:color w:val="1E2660"/>
          <w:sz w:val="20"/>
        </w:rPr>
        <w:t>DOC-02: Corporate Profile &amp; Banking Credentials Deck</w:t>
      </w:r>
    </w:p>
    <w:p>
      <w:pPr>
        <w:pStyle w:val="ListBullet"/>
        <w:spacing w:after="40" w:line="276" w:lineRule="auto"/>
      </w:pPr>
      <w:r>
        <w:rPr>
          <w:rFonts w:ascii="Calibri" w:hAnsi="Calibri" w:eastAsia="Calibri"/>
          <w:b/>
          <w:i w:val="0"/>
          <w:color w:val="222222"/>
          <w:sz w:val="19"/>
        </w:rPr>
        <w:t>Target File Path:</w:t>
      </w:r>
      <w:r>
        <w:rPr>
          <w:rFonts w:ascii="Calibri" w:hAnsi="Calibri" w:eastAsia="Calibri"/>
          <w:b w:val="0"/>
          <w:i w:val="0"/>
          <w:color w:val="222222"/>
          <w:sz w:val="19"/>
        </w:rPr>
        <w:t xml:space="preserve"> </w:t>
      </w:r>
      <w:r>
        <w:rPr>
          <w:rFonts w:ascii="Consolas" w:hAnsi="Consolas" w:eastAsia="Consolas"/>
          <w:b w:val="0"/>
          <w:i w:val="0"/>
          <w:color w:val="8B0000"/>
          <w:sz w:val="18"/>
        </w:rPr>
        <w:t>business_document/01_strategic_marketing/DOC-02_Corporate_Profile_Deck.md</w:t>
      </w:r>
    </w:p>
    <w:p>
      <w:pPr>
        <w:pStyle w:val="ListBullet"/>
        <w:spacing w:after="40" w:line="276" w:lineRule="auto"/>
      </w:pPr>
      <w:r>
        <w:rPr>
          <w:rFonts w:ascii="Calibri" w:hAnsi="Calibri" w:eastAsia="Calibri"/>
          <w:b/>
          <w:i w:val="0"/>
          <w:color w:val="222222"/>
          <w:sz w:val="19"/>
        </w:rPr>
        <w:t>Lifecycle Phase:</w:t>
      </w:r>
      <w:r>
        <w:rPr>
          <w:rFonts w:ascii="Calibri" w:hAnsi="Calibri" w:eastAsia="Calibri"/>
          <w:b w:val="0"/>
          <w:i w:val="0"/>
          <w:color w:val="222222"/>
          <w:sz w:val="19"/>
        </w:rPr>
        <w:t xml:space="preserve"> Credibility Building &amp; Initial Executive Pitch</w:t>
      </w:r>
    </w:p>
    <w:p>
      <w:pPr>
        <w:pStyle w:val="ListBullet"/>
        <w:spacing w:after="40" w:line="276" w:lineRule="auto"/>
      </w:pPr>
      <w:r>
        <w:rPr>
          <w:rFonts w:ascii="Calibri" w:hAnsi="Calibri" w:eastAsia="Calibri"/>
          <w:b/>
          <w:i w:val="0"/>
          <w:color w:val="222222"/>
          <w:sz w:val="19"/>
        </w:rPr>
        <w:t>Target Audience:</w:t>
      </w:r>
      <w:r>
        <w:rPr>
          <w:rFonts w:ascii="Calibri" w:hAnsi="Calibri" w:eastAsia="Calibri"/>
          <w:b w:val="0"/>
          <w:i w:val="0"/>
          <w:color w:val="222222"/>
          <w:sz w:val="19"/>
        </w:rPr>
        <w:t xml:space="preserve"> Bank Board Members, Managing Directors, ICT Procurement Committee Chairs</w:t>
      </w:r>
    </w:p>
    <w:p>
      <w:pPr>
        <w:pStyle w:val="ListBullet"/>
        <w:spacing w:after="40" w:line="276" w:lineRule="auto"/>
      </w:pPr>
      <w:r>
        <w:rPr>
          <w:rFonts w:ascii="Calibri" w:hAnsi="Calibri" w:eastAsia="Calibri"/>
          <w:b/>
          <w:i w:val="0"/>
          <w:color w:val="222222"/>
          <w:sz w:val="19"/>
        </w:rPr>
        <w:t>Operational Purpose:</w:t>
      </w:r>
      <w:r>
        <w:rPr>
          <w:rFonts w:ascii="Calibri" w:hAnsi="Calibri" w:eastAsia="Calibri"/>
          <w:b w:val="0"/>
          <w:i w:val="0"/>
          <w:color w:val="222222"/>
          <w:sz w:val="19"/>
        </w:rPr>
        <w:t xml:space="preserve"> Comprehensive corporate profile demonstrating Unisoft's financial stability, parent company strength (Smart Technologies BD Ltd), 10-year track record, 150+ successful deployments, and national enterprise software leadership.</w:t>
      </w:r>
    </w:p>
    <w:p>
      <w:pPr>
        <w:pStyle w:val="ListBullet"/>
        <w:spacing w:after="40" w:line="276" w:lineRule="auto"/>
      </w:pPr>
      <w:r>
        <w:rPr>
          <w:rFonts w:ascii="Calibri" w:hAnsi="Calibri" w:eastAsia="Calibri"/>
          <w:b/>
          <w:i w:val="0"/>
          <w:color w:val="222222"/>
          <w:sz w:val="19"/>
        </w:rPr>
        <w:t>Detailed Table of Contents:</w:t>
      </w:r>
    </w:p>
    <w:p>
      <w:pPr>
        <w:spacing w:after="80" w:line="276" w:lineRule="auto"/>
      </w:pPr>
      <w:r>
        <w:rPr>
          <w:rFonts w:ascii="Calibri" w:hAnsi="Calibri" w:eastAsia="Calibri"/>
          <w:b w:val="0"/>
          <w:i w:val="0"/>
          <w:color w:val="222222"/>
          <w:sz w:val="19"/>
        </w:rPr>
        <w:t>1. Corporate Identity &amp; Vision: Building Tomorrow’s Technology Today</w:t>
      </w:r>
    </w:p>
    <w:p>
      <w:pPr>
        <w:spacing w:after="80" w:line="276" w:lineRule="auto"/>
      </w:pPr>
      <w:r>
        <w:rPr>
          <w:rFonts w:ascii="Calibri" w:hAnsi="Calibri" w:eastAsia="Calibri"/>
          <w:b w:val="0"/>
          <w:i w:val="0"/>
          <w:color w:val="222222"/>
          <w:sz w:val="19"/>
        </w:rPr>
        <w:t>2. Ownership &amp; Financial Strength: Backed by Smart Technologies BD Ltd (Annual Group Turnover &gt; ৳2,000 Crore)</w:t>
      </w:r>
    </w:p>
    <w:p>
      <w:pPr>
        <w:spacing w:after="80" w:line="276" w:lineRule="auto"/>
      </w:pPr>
      <w:r>
        <w:rPr>
          <w:rFonts w:ascii="Calibri" w:hAnsi="Calibri" w:eastAsia="Calibri"/>
          <w:b w:val="0"/>
          <w:i w:val="0"/>
          <w:color w:val="222222"/>
          <w:sz w:val="19"/>
        </w:rPr>
        <w:t>3. 10-Year Journey of Excellence: Milestones from 2015 to 2026</w:t>
      </w:r>
    </w:p>
    <w:p>
      <w:pPr>
        <w:spacing w:after="80" w:line="276" w:lineRule="auto"/>
      </w:pPr>
      <w:r>
        <w:rPr>
          <w:rFonts w:ascii="Calibri" w:hAnsi="Calibri" w:eastAsia="Calibri"/>
          <w:b w:val="0"/>
          <w:i w:val="0"/>
          <w:color w:val="222222"/>
          <w:sz w:val="19"/>
        </w:rPr>
        <w:t>4. Core Competencies &amp; Enterprise Products: UniVAT (NBR Approved), ERP, Microfinance, ULMS</w:t>
      </w:r>
    </w:p>
    <w:p>
      <w:pPr>
        <w:spacing w:after="80" w:line="276" w:lineRule="auto"/>
      </w:pPr>
      <w:r>
        <w:rPr>
          <w:rFonts w:ascii="Calibri" w:hAnsi="Calibri" w:eastAsia="Calibri"/>
          <w:b w:val="0"/>
          <w:i w:val="0"/>
          <w:color w:val="222222"/>
          <w:sz w:val="19"/>
        </w:rPr>
        <w:t>5. Banking &amp; Financial Sector Footprint: Live Implementations and Industry References</w:t>
      </w:r>
    </w:p>
    <w:p>
      <w:pPr>
        <w:spacing w:after="80" w:line="276" w:lineRule="auto"/>
      </w:pPr>
      <w:r>
        <w:rPr>
          <w:rFonts w:ascii="Calibri" w:hAnsi="Calibri" w:eastAsia="Calibri"/>
          <w:b w:val="0"/>
          <w:i w:val="0"/>
          <w:color w:val="222222"/>
          <w:sz w:val="19"/>
        </w:rPr>
        <w:t>6. Engineering Excellence: 40+ Certified Enterprise Software Engineers &amp; Financial Analysts</w:t>
      </w:r>
    </w:p>
    <w:p>
      <w:pPr>
        <w:spacing w:after="80" w:line="276" w:lineRule="auto"/>
      </w:pPr>
      <w:r>
        <w:rPr>
          <w:rFonts w:ascii="Calibri" w:hAnsi="Calibri" w:eastAsia="Calibri"/>
          <w:b w:val="0"/>
          <w:i w:val="0"/>
          <w:color w:val="222222"/>
          <w:sz w:val="19"/>
        </w:rPr>
        <w:t>7. Physical Infrastructure: Corporate Headquarters at Youth Tower, Begum Rokeya Sarani, Dhaka</w:t>
      </w:r>
    </w:p>
    <w:p>
      <w:pPr>
        <w:spacing w:after="80" w:line="276" w:lineRule="auto"/>
      </w:pPr>
      <w:r>
        <w:rPr>
          <w:rFonts w:ascii="Calibri" w:hAnsi="Calibri" w:eastAsia="Calibri"/>
          <w:b w:val="0"/>
          <w:i w:val="0"/>
          <w:color w:val="222222"/>
          <w:sz w:val="19"/>
        </w:rPr>
        <w:t>8. Quality Certifications &amp; Standards: ISO 9001, ISO 27001, CMMI-aligned engineering lifecycle</w:t>
      </w:r>
    </w:p>
    <w:p>
      <w:pPr>
        <w:pStyle w:val="ListBullet"/>
        <w:spacing w:after="40" w:line="276" w:lineRule="auto"/>
      </w:pPr>
      <w:r>
        <w:rPr>
          <w:rFonts w:ascii="Calibri" w:hAnsi="Calibri" w:eastAsia="Calibri"/>
          <w:b/>
          <w:i w:val="0"/>
          <w:color w:val="222222"/>
          <w:sz w:val="19"/>
        </w:rPr>
        <w:t>Core Value Proposition:</w:t>
      </w:r>
      <w:r>
        <w:rPr>
          <w:rFonts w:ascii="Calibri" w:hAnsi="Calibri" w:eastAsia="Calibri"/>
          <w:b w:val="0"/>
          <w:i w:val="0"/>
          <w:color w:val="222222"/>
          <w:sz w:val="19"/>
        </w:rPr>
        <w:t xml:space="preserve"> Reassure bank leadership that Unisoft is a long-term, financially secure, institutional technology partner capable of sustaining mission-critical core banking infrastructure for decades.</w:t>
      </w:r>
    </w:p>
    <w:p>
      <w:pPr>
        <w:pStyle w:val="ListBullet"/>
        <w:spacing w:after="40" w:line="276" w:lineRule="auto"/>
      </w:pPr>
      <w:r>
        <w:rPr>
          <w:rFonts w:ascii="Calibri" w:hAnsi="Calibri" w:eastAsia="Calibri"/>
          <w:b/>
          <w:i w:val="0"/>
          <w:color w:val="222222"/>
          <w:sz w:val="19"/>
        </w:rPr>
        <w:t>Required Inputs &amp; Exhibits:</w:t>
      </w:r>
      <w:r>
        <w:rPr>
          <w:rFonts w:ascii="Calibri" w:hAnsi="Calibri" w:eastAsia="Calibri"/>
          <w:b w:val="0"/>
          <w:i w:val="0"/>
          <w:color w:val="222222"/>
          <w:sz w:val="19"/>
        </w:rPr>
        <w:t xml:space="preserve"> Corporate organizational chart, NBR VAT approval certificate, financial statements summary, office photography.</w:t>
      </w:r>
    </w:p>
    <w:p>
      <w:pPr>
        <w:pStyle w:val="ListBullet"/>
        <w:spacing w:after="40" w:line="276" w:lineRule="auto"/>
      </w:pPr>
      <w:r>
        <w:rPr>
          <w:rFonts w:ascii="Calibri" w:hAnsi="Calibri" w:eastAsia="Calibri"/>
          <w:b/>
          <w:i w:val="0"/>
          <w:color w:val="222222"/>
          <w:sz w:val="19"/>
        </w:rPr>
        <w:t>Maintenance Owner:</w:t>
      </w:r>
      <w:r>
        <w:rPr>
          <w:rFonts w:ascii="Calibri" w:hAnsi="Calibri" w:eastAsia="Calibri"/>
          <w:b w:val="0"/>
          <w:i w:val="0"/>
          <w:color w:val="222222"/>
          <w:sz w:val="19"/>
        </w:rPr>
        <w:t xml:space="preserve"> Head of Business Development (Semi-Annual Update).</w:t>
      </w:r>
    </w:p>
    <w:p>
      <w:pPr>
        <w:keepNext/>
        <w:spacing w:before="160" w:after="40"/>
      </w:pPr>
      <w:r>
        <w:rPr>
          <w:rFonts w:ascii="Calibri" w:hAnsi="Calibri" w:eastAsia="Calibri"/>
          <w:b/>
          <w:i w:val="0"/>
          <w:color w:val="1E2660"/>
          <w:sz w:val="20"/>
        </w:rPr>
        <w:t>DOC-03: Executive One-Pager: Why ULMS v2.0</w:t>
      </w:r>
    </w:p>
    <w:p>
      <w:pPr>
        <w:pStyle w:val="ListBullet"/>
        <w:spacing w:after="40" w:line="276" w:lineRule="auto"/>
      </w:pPr>
      <w:r>
        <w:rPr>
          <w:rFonts w:ascii="Calibri" w:hAnsi="Calibri" w:eastAsia="Calibri"/>
          <w:b/>
          <w:i w:val="0"/>
          <w:color w:val="222222"/>
          <w:sz w:val="19"/>
        </w:rPr>
        <w:t>Target File Path:</w:t>
      </w:r>
      <w:r>
        <w:rPr>
          <w:rFonts w:ascii="Calibri" w:hAnsi="Calibri" w:eastAsia="Calibri"/>
          <w:b w:val="0"/>
          <w:i w:val="0"/>
          <w:color w:val="222222"/>
          <w:sz w:val="19"/>
        </w:rPr>
        <w:t xml:space="preserve"> </w:t>
      </w:r>
      <w:r>
        <w:rPr>
          <w:rFonts w:ascii="Consolas" w:hAnsi="Consolas" w:eastAsia="Consolas"/>
          <w:b w:val="0"/>
          <w:i w:val="0"/>
          <w:color w:val="8B0000"/>
          <w:sz w:val="18"/>
        </w:rPr>
        <w:t>business_document/01_strategic_marketing/DOC-03_Executive_One_Pager_Why_ULMS.md</w:t>
      </w:r>
    </w:p>
    <w:p>
      <w:pPr>
        <w:pStyle w:val="ListBullet"/>
        <w:spacing w:after="40" w:line="276" w:lineRule="auto"/>
      </w:pPr>
      <w:r>
        <w:rPr>
          <w:rFonts w:ascii="Calibri" w:hAnsi="Calibri" w:eastAsia="Calibri"/>
          <w:b/>
          <w:i w:val="0"/>
          <w:color w:val="222222"/>
          <w:sz w:val="19"/>
        </w:rPr>
        <w:t>Lifecycle Phase:</w:t>
      </w:r>
      <w:r>
        <w:rPr>
          <w:rFonts w:ascii="Calibri" w:hAnsi="Calibri" w:eastAsia="Calibri"/>
          <w:b w:val="0"/>
          <w:i w:val="0"/>
          <w:color w:val="222222"/>
          <w:sz w:val="19"/>
        </w:rPr>
        <w:t xml:space="preserve"> Executive Engagement &amp; Leave-Behind</w:t>
      </w:r>
    </w:p>
    <w:p>
      <w:pPr>
        <w:pStyle w:val="ListBullet"/>
        <w:spacing w:after="40" w:line="276" w:lineRule="auto"/>
      </w:pPr>
      <w:r>
        <w:rPr>
          <w:rFonts w:ascii="Calibri" w:hAnsi="Calibri" w:eastAsia="Calibri"/>
          <w:b/>
          <w:i w:val="0"/>
          <w:color w:val="222222"/>
          <w:sz w:val="19"/>
        </w:rPr>
        <w:t>Target Audience:</w:t>
      </w:r>
      <w:r>
        <w:rPr>
          <w:rFonts w:ascii="Calibri" w:hAnsi="Calibri" w:eastAsia="Calibri"/>
          <w:b w:val="0"/>
          <w:i w:val="0"/>
          <w:color w:val="222222"/>
          <w:sz w:val="19"/>
        </w:rPr>
        <w:t xml:space="preserve"> Bank Managing Directors, CEOs, Board ICT Committee Members</w:t>
      </w:r>
    </w:p>
    <w:p>
      <w:pPr>
        <w:pStyle w:val="ListBullet"/>
        <w:spacing w:after="40" w:line="276" w:lineRule="auto"/>
      </w:pPr>
      <w:r>
        <w:rPr>
          <w:rFonts w:ascii="Calibri" w:hAnsi="Calibri" w:eastAsia="Calibri"/>
          <w:b/>
          <w:i w:val="0"/>
          <w:color w:val="222222"/>
          <w:sz w:val="19"/>
        </w:rPr>
        <w:t>Operational Purpose:</w:t>
      </w:r>
      <w:r>
        <w:rPr>
          <w:rFonts w:ascii="Calibri" w:hAnsi="Calibri" w:eastAsia="Calibri"/>
          <w:b w:val="0"/>
          <w:i w:val="0"/>
          <w:color w:val="222222"/>
          <w:sz w:val="19"/>
        </w:rPr>
        <w:t xml:space="preserve"> A scannable, single-page executive decision summary contrasting ULMS against legacy approaches and global vendor monoliths.</w:t>
      </w:r>
    </w:p>
    <w:p>
      <w:pPr>
        <w:pStyle w:val="ListBullet"/>
        <w:spacing w:after="40" w:line="276" w:lineRule="auto"/>
      </w:pPr>
      <w:r>
        <w:rPr>
          <w:rFonts w:ascii="Calibri" w:hAnsi="Calibri" w:eastAsia="Calibri"/>
          <w:b/>
          <w:i w:val="0"/>
          <w:color w:val="222222"/>
          <w:sz w:val="19"/>
        </w:rPr>
        <w:t>Detailed Table of Contents:</w:t>
      </w:r>
    </w:p>
    <w:p>
      <w:pPr>
        <w:spacing w:after="80" w:line="276" w:lineRule="auto"/>
      </w:pPr>
      <w:r>
        <w:rPr>
          <w:rFonts w:ascii="Calibri" w:hAnsi="Calibri" w:eastAsia="Calibri"/>
          <w:b w:val="0"/>
          <w:i w:val="0"/>
          <w:color w:val="222222"/>
          <w:sz w:val="19"/>
        </w:rPr>
        <w:t>1. The 30-Second Elevator Pitch: What is ULMS v2.0?</w:t>
      </w:r>
    </w:p>
    <w:p>
      <w:pPr>
        <w:spacing w:after="80" w:line="276" w:lineRule="auto"/>
      </w:pPr>
      <w:r>
        <w:rPr>
          <w:rFonts w:ascii="Calibri" w:hAnsi="Calibri" w:eastAsia="Calibri"/>
          <w:b w:val="0"/>
          <w:i w:val="0"/>
          <w:color w:val="222222"/>
          <w:sz w:val="19"/>
        </w:rPr>
        <w:t>2. The Executive Challenge: Skyrocketing NPLs, BRPD 15/2024 Deadlines, and Crushing Legacy IT Costs</w:t>
      </w:r>
    </w:p>
    <w:p>
      <w:pPr>
        <w:spacing w:after="80" w:line="276" w:lineRule="auto"/>
      </w:pPr>
      <w:r>
        <w:rPr>
          <w:rFonts w:ascii="Calibri" w:hAnsi="Calibri" w:eastAsia="Calibri"/>
          <w:b w:val="0"/>
          <w:i w:val="0"/>
          <w:color w:val="222222"/>
          <w:sz w:val="19"/>
        </w:rPr>
        <w:t>3. Why Legacy Foreign Monoliths Fail in Bangladesh: Multi-Million Dollar Drains, Inflexible Customization, Offshore Support Delays</w:t>
      </w:r>
    </w:p>
    <w:p>
      <w:pPr>
        <w:spacing w:after="80" w:line="276" w:lineRule="auto"/>
      </w:pPr>
      <w:r>
        <w:rPr>
          <w:rFonts w:ascii="Calibri" w:hAnsi="Calibri" w:eastAsia="Calibri"/>
          <w:b w:val="0"/>
          <w:i w:val="0"/>
          <w:color w:val="222222"/>
          <w:sz w:val="19"/>
        </w:rPr>
        <w:t>4. The ULMS Advantage Matrix: 100% Local Compliance, 80% Lower TCO, 12-Week Go-Live, Dhaka 24/7 Engineers</w:t>
      </w:r>
    </w:p>
    <w:p>
      <w:pPr>
        <w:spacing w:after="80" w:line="276" w:lineRule="auto"/>
      </w:pPr>
      <w:r>
        <w:rPr>
          <w:rFonts w:ascii="Calibri" w:hAnsi="Calibri" w:eastAsia="Calibri"/>
          <w:b w:val="0"/>
          <w:i w:val="0"/>
          <w:color w:val="222222"/>
          <w:sz w:val="19"/>
        </w:rPr>
        <w:t>5. Quantified ROI Snapshot: Payback in &lt;9 Months, 5-Year Net Savings Exceeding ৳15 Crore</w:t>
      </w:r>
    </w:p>
    <w:p>
      <w:pPr>
        <w:spacing w:after="80" w:line="276" w:lineRule="auto"/>
      </w:pPr>
      <w:r>
        <w:rPr>
          <w:rFonts w:ascii="Calibri" w:hAnsi="Calibri" w:eastAsia="Calibri"/>
          <w:b w:val="0"/>
          <w:i w:val="0"/>
          <w:color w:val="222222"/>
          <w:sz w:val="19"/>
        </w:rPr>
        <w:t>6. Strategic Next Step: Request a Customized 45-Minute Executive Briefing &amp; Live Demonstration</w:t>
      </w:r>
    </w:p>
    <w:p>
      <w:pPr>
        <w:pStyle w:val="ListBullet"/>
        <w:spacing w:after="40" w:line="276" w:lineRule="auto"/>
      </w:pPr>
      <w:r>
        <w:rPr>
          <w:rFonts w:ascii="Calibri" w:hAnsi="Calibri" w:eastAsia="Calibri"/>
          <w:b/>
          <w:i w:val="0"/>
          <w:color w:val="222222"/>
          <w:sz w:val="19"/>
        </w:rPr>
        <w:t>Core Value Proposition:</w:t>
      </w:r>
      <w:r>
        <w:rPr>
          <w:rFonts w:ascii="Calibri" w:hAnsi="Calibri" w:eastAsia="Calibri"/>
          <w:b w:val="0"/>
          <w:i w:val="0"/>
          <w:color w:val="222222"/>
          <w:sz w:val="19"/>
        </w:rPr>
        <w:t xml:space="preserve"> Provide busy C-level executives with immediate, undeniable business justification for choosing ULMS over multinational alternatives.</w:t>
      </w:r>
    </w:p>
    <w:p>
      <w:pPr>
        <w:pStyle w:val="ListBullet"/>
        <w:spacing w:after="40" w:line="276" w:lineRule="auto"/>
      </w:pPr>
      <w:r>
        <w:rPr>
          <w:rFonts w:ascii="Calibri" w:hAnsi="Calibri" w:eastAsia="Calibri"/>
          <w:b/>
          <w:i w:val="0"/>
          <w:color w:val="222222"/>
          <w:sz w:val="19"/>
        </w:rPr>
        <w:t>Required Inputs &amp; Exhibits:</w:t>
      </w:r>
      <w:r>
        <w:rPr>
          <w:rFonts w:ascii="Calibri" w:hAnsi="Calibri" w:eastAsia="Calibri"/>
          <w:b w:val="0"/>
          <w:i w:val="0"/>
          <w:color w:val="222222"/>
          <w:sz w:val="19"/>
        </w:rPr>
        <w:t xml:space="preserve"> Executive comparison table (ULMS vs. Global Monoliths vs. In-House Legacy).</w:t>
      </w:r>
    </w:p>
    <w:p>
      <w:pPr>
        <w:pStyle w:val="ListBullet"/>
        <w:spacing w:after="40" w:line="276" w:lineRule="auto"/>
      </w:pPr>
      <w:r>
        <w:rPr>
          <w:rFonts w:ascii="Calibri" w:hAnsi="Calibri" w:eastAsia="Calibri"/>
          <w:b/>
          <w:i w:val="0"/>
          <w:color w:val="222222"/>
          <w:sz w:val="19"/>
        </w:rPr>
        <w:t>Maintenance Owner:</w:t>
      </w:r>
      <w:r>
        <w:rPr>
          <w:rFonts w:ascii="Calibri" w:hAnsi="Calibri" w:eastAsia="Calibri"/>
          <w:b w:val="0"/>
          <w:i w:val="0"/>
          <w:color w:val="222222"/>
          <w:sz w:val="19"/>
        </w:rPr>
        <w:t xml:space="preserve"> Chief Commercial Officer (Monthly Review).</w:t>
      </w:r>
    </w:p>
    <w:p>
      <w:pPr>
        <w:keepNext/>
        <w:spacing w:before="160" w:after="40"/>
      </w:pPr>
      <w:r>
        <w:rPr>
          <w:rFonts w:ascii="Calibri" w:hAnsi="Calibri" w:eastAsia="Calibri"/>
          <w:b/>
          <w:i w:val="0"/>
          <w:color w:val="1E2660"/>
          <w:sz w:val="20"/>
        </w:rPr>
        <w:t>DOC-04: Market Research Whitepaper: The State of Digital Lending in Bangladesh 2026</w:t>
      </w:r>
    </w:p>
    <w:p>
      <w:pPr>
        <w:pStyle w:val="ListBullet"/>
        <w:spacing w:after="40" w:line="276" w:lineRule="auto"/>
      </w:pPr>
      <w:r>
        <w:rPr>
          <w:rFonts w:ascii="Calibri" w:hAnsi="Calibri" w:eastAsia="Calibri"/>
          <w:b/>
          <w:i w:val="0"/>
          <w:color w:val="222222"/>
          <w:sz w:val="19"/>
        </w:rPr>
        <w:t>Target File Path:</w:t>
      </w:r>
      <w:r>
        <w:rPr>
          <w:rFonts w:ascii="Calibri" w:hAnsi="Calibri" w:eastAsia="Calibri"/>
          <w:b w:val="0"/>
          <w:i w:val="0"/>
          <w:color w:val="222222"/>
          <w:sz w:val="19"/>
        </w:rPr>
        <w:t xml:space="preserve"> </w:t>
      </w:r>
      <w:r>
        <w:rPr>
          <w:rFonts w:ascii="Consolas" w:hAnsi="Consolas" w:eastAsia="Consolas"/>
          <w:b w:val="0"/>
          <w:i w:val="0"/>
          <w:color w:val="8B0000"/>
          <w:sz w:val="18"/>
        </w:rPr>
        <w:t>business_document/01_strategic_marketing/DOC-04_Market_Research_Whitepaper.md</w:t>
      </w:r>
    </w:p>
    <w:p>
      <w:pPr>
        <w:pStyle w:val="ListBullet"/>
        <w:spacing w:after="40" w:line="276" w:lineRule="auto"/>
      </w:pPr>
      <w:r>
        <w:rPr>
          <w:rFonts w:ascii="Calibri" w:hAnsi="Calibri" w:eastAsia="Calibri"/>
          <w:b/>
          <w:i w:val="0"/>
          <w:color w:val="222222"/>
          <w:sz w:val="19"/>
        </w:rPr>
        <w:t>Lifecycle Phase:</w:t>
      </w:r>
      <w:r>
        <w:rPr>
          <w:rFonts w:ascii="Calibri" w:hAnsi="Calibri" w:eastAsia="Calibri"/>
          <w:b w:val="0"/>
          <w:i w:val="0"/>
          <w:color w:val="222222"/>
          <w:sz w:val="19"/>
        </w:rPr>
        <w:t xml:space="preserve"> Thought Leadership &amp; Industry Event Distribution</w:t>
      </w:r>
    </w:p>
    <w:p>
      <w:pPr>
        <w:pStyle w:val="ListBullet"/>
        <w:spacing w:after="40" w:line="276" w:lineRule="auto"/>
      </w:pPr>
      <w:r>
        <w:rPr>
          <w:rFonts w:ascii="Calibri" w:hAnsi="Calibri" w:eastAsia="Calibri"/>
          <w:b/>
          <w:i w:val="0"/>
          <w:color w:val="222222"/>
          <w:sz w:val="19"/>
        </w:rPr>
        <w:t>Target Audience:</w:t>
      </w:r>
      <w:r>
        <w:rPr>
          <w:rFonts w:ascii="Calibri" w:hAnsi="Calibri" w:eastAsia="Calibri"/>
          <w:b w:val="0"/>
          <w:i w:val="0"/>
          <w:color w:val="222222"/>
          <w:sz w:val="19"/>
        </w:rPr>
        <w:t xml:space="preserve"> Heads of Retail Banking, Heads of SME, Chief Risk Officers, Banking Journalists, Bangladesh Bank Observers</w:t>
      </w:r>
    </w:p>
    <w:p>
      <w:pPr>
        <w:pStyle w:val="ListBullet"/>
        <w:spacing w:after="40" w:line="276" w:lineRule="auto"/>
      </w:pPr>
      <w:r>
        <w:rPr>
          <w:rFonts w:ascii="Calibri" w:hAnsi="Calibri" w:eastAsia="Calibri"/>
          <w:b/>
          <w:i w:val="0"/>
          <w:color w:val="222222"/>
          <w:sz w:val="19"/>
        </w:rPr>
        <w:t>Operational Purpose:</w:t>
      </w:r>
      <w:r>
        <w:rPr>
          <w:rFonts w:ascii="Calibri" w:hAnsi="Calibri" w:eastAsia="Calibri"/>
          <w:b w:val="0"/>
          <w:i w:val="0"/>
          <w:color w:val="222222"/>
          <w:sz w:val="19"/>
        </w:rPr>
        <w:t xml:space="preserve"> An authoritative research report analyzing lending trends, regulatory pressures, NPL patterns, and digital transformation benchmarks across the 62 scheduled banks in Bangladesh.</w:t>
      </w:r>
    </w:p>
    <w:p>
      <w:pPr>
        <w:pStyle w:val="ListBullet"/>
        <w:spacing w:after="40" w:line="276" w:lineRule="auto"/>
      </w:pPr>
      <w:r>
        <w:rPr>
          <w:rFonts w:ascii="Calibri" w:hAnsi="Calibri" w:eastAsia="Calibri"/>
          <w:b/>
          <w:i w:val="0"/>
          <w:color w:val="222222"/>
          <w:sz w:val="19"/>
        </w:rPr>
        <w:t>Detailed Table of Contents:</w:t>
      </w:r>
    </w:p>
    <w:p>
      <w:pPr>
        <w:spacing w:after="80" w:line="276" w:lineRule="auto"/>
      </w:pPr>
      <w:r>
        <w:rPr>
          <w:rFonts w:ascii="Calibri" w:hAnsi="Calibri" w:eastAsia="Calibri"/>
          <w:b w:val="0"/>
          <w:i w:val="0"/>
          <w:color w:val="222222"/>
          <w:sz w:val="19"/>
        </w:rPr>
        <w:t>1. Executive Summary &amp; Macroeconomic Climate (Post-2024 Banking Reforms)</w:t>
      </w:r>
    </w:p>
    <w:p>
      <w:pPr>
        <w:spacing w:after="80" w:line="276" w:lineRule="auto"/>
      </w:pPr>
      <w:r>
        <w:rPr>
          <w:rFonts w:ascii="Calibri" w:hAnsi="Calibri" w:eastAsia="Calibri"/>
          <w:b w:val="0"/>
          <w:i w:val="0"/>
          <w:color w:val="222222"/>
          <w:sz w:val="19"/>
        </w:rPr>
        <w:t>2. Analysis of the BDT 16.5 Trillion Credit Portfolio: Growth Vectors and Asset Quality Challenges</w:t>
      </w:r>
    </w:p>
    <w:p>
      <w:pPr>
        <w:spacing w:after="80" w:line="276" w:lineRule="auto"/>
      </w:pPr>
      <w:r>
        <w:rPr>
          <w:rFonts w:ascii="Calibri" w:hAnsi="Calibri" w:eastAsia="Calibri"/>
          <w:b w:val="0"/>
          <w:i w:val="0"/>
          <w:color w:val="222222"/>
          <w:sz w:val="19"/>
        </w:rPr>
        <w:t>3. The Regulatory Tsunami: BRPD Circular 15/2024, IFRS-9 ECL Mandates, and the 2027 Cashless Roadmap</w:t>
      </w:r>
    </w:p>
    <w:p>
      <w:pPr>
        <w:spacing w:after="80" w:line="276" w:lineRule="auto"/>
      </w:pPr>
      <w:r>
        <w:rPr>
          <w:rFonts w:ascii="Calibri" w:hAnsi="Calibri" w:eastAsia="Calibri"/>
          <w:b w:val="0"/>
          <w:i w:val="0"/>
          <w:color w:val="222222"/>
          <w:sz w:val="19"/>
        </w:rPr>
        <w:t>4. The Digital Lending Maturity Curve: Benchmarking 62 Scheduled Banks Across 4 Tiers</w:t>
      </w:r>
    </w:p>
    <w:p>
      <w:pPr>
        <w:spacing w:after="80" w:line="276" w:lineRule="auto"/>
      </w:pPr>
      <w:r>
        <w:rPr>
          <w:rFonts w:ascii="Calibri" w:hAnsi="Calibri" w:eastAsia="Calibri"/>
          <w:b w:val="0"/>
          <w:i w:val="0"/>
          <w:color w:val="222222"/>
          <w:sz w:val="19"/>
        </w:rPr>
        <w:t>5. The MSME Credit Gap: Why Manual Underwriting Excludes BDT 3.5 Trillion in Potential Credit Demand</w:t>
      </w:r>
    </w:p>
    <w:p>
      <w:pPr>
        <w:spacing w:after="80" w:line="276" w:lineRule="auto"/>
      </w:pPr>
      <w:r>
        <w:rPr>
          <w:rFonts w:ascii="Calibri" w:hAnsi="Calibri" w:eastAsia="Calibri"/>
          <w:b w:val="0"/>
          <w:i w:val="0"/>
          <w:color w:val="222222"/>
          <w:sz w:val="19"/>
        </w:rPr>
        <w:t>6. Technology Enablers: Automated CIB Deduplication, AI-Assisted Debt Burden Ratio (DBR), Micro-Credit Rails</w:t>
      </w:r>
    </w:p>
    <w:p>
      <w:pPr>
        <w:spacing w:after="80" w:line="276" w:lineRule="auto"/>
      </w:pPr>
      <w:r>
        <w:rPr>
          <w:rFonts w:ascii="Calibri" w:hAnsi="Calibri" w:eastAsia="Calibri"/>
          <w:b w:val="0"/>
          <w:i w:val="0"/>
          <w:color w:val="222222"/>
          <w:sz w:val="19"/>
        </w:rPr>
        <w:t>7. The Path to Sustainable Profitability: Modernizing Core Lending Infrastructure Without Displacing Core Banking</w:t>
      </w:r>
    </w:p>
    <w:p>
      <w:pPr>
        <w:spacing w:after="80" w:line="276" w:lineRule="auto"/>
      </w:pPr>
      <w:r>
        <w:rPr>
          <w:rFonts w:ascii="Calibri" w:hAnsi="Calibri" w:eastAsia="Calibri"/>
          <w:b w:val="0"/>
          <w:i w:val="0"/>
          <w:color w:val="222222"/>
          <w:sz w:val="19"/>
        </w:rPr>
        <w:t>8. Unisoft’s Strategic Recommendations for Commercial Bank Leadership</w:t>
      </w:r>
    </w:p>
    <w:p>
      <w:pPr>
        <w:pStyle w:val="ListBullet"/>
        <w:spacing w:after="40" w:line="276" w:lineRule="auto"/>
      </w:pPr>
      <w:r>
        <w:rPr>
          <w:rFonts w:ascii="Calibri" w:hAnsi="Calibri" w:eastAsia="Calibri"/>
          <w:b/>
          <w:i w:val="0"/>
          <w:color w:val="222222"/>
          <w:sz w:val="19"/>
        </w:rPr>
        <w:t>Core Value Proposition:</w:t>
      </w:r>
      <w:r>
        <w:rPr>
          <w:rFonts w:ascii="Calibri" w:hAnsi="Calibri" w:eastAsia="Calibri"/>
          <w:b w:val="0"/>
          <w:i w:val="0"/>
          <w:color w:val="222222"/>
          <w:sz w:val="19"/>
        </w:rPr>
        <w:t xml:space="preserve"> Establish Unisoft as thought leaders who possess deeper insights into the structural challenges of Bangladesh banking than any foreign vendor.</w:t>
      </w:r>
    </w:p>
    <w:p>
      <w:pPr>
        <w:pStyle w:val="ListBullet"/>
        <w:spacing w:after="40" w:line="276" w:lineRule="auto"/>
      </w:pPr>
      <w:r>
        <w:rPr>
          <w:rFonts w:ascii="Calibri" w:hAnsi="Calibri" w:eastAsia="Calibri"/>
          <w:b/>
          <w:i w:val="0"/>
          <w:color w:val="222222"/>
          <w:sz w:val="19"/>
        </w:rPr>
        <w:t>Required Inputs &amp; Exhibits:</w:t>
      </w:r>
      <w:r>
        <w:rPr>
          <w:rFonts w:ascii="Calibri" w:hAnsi="Calibri" w:eastAsia="Calibri"/>
          <w:b w:val="0"/>
          <w:i w:val="0"/>
          <w:color w:val="222222"/>
          <w:sz w:val="19"/>
        </w:rPr>
        <w:t xml:space="preserve"> Bangladesh Bank statistical data, industry growth charts, regulatory timeline roadmap.</w:t>
      </w:r>
    </w:p>
    <w:p>
      <w:pPr>
        <w:pStyle w:val="ListBullet"/>
        <w:spacing w:after="40" w:line="276" w:lineRule="auto"/>
      </w:pPr>
      <w:r>
        <w:rPr>
          <w:rFonts w:ascii="Calibri" w:hAnsi="Calibri" w:eastAsia="Calibri"/>
          <w:b/>
          <w:i w:val="0"/>
          <w:color w:val="222222"/>
          <w:sz w:val="19"/>
        </w:rPr>
        <w:t>Maintenance Owner:</w:t>
      </w:r>
      <w:r>
        <w:rPr>
          <w:rFonts w:ascii="Calibri" w:hAnsi="Calibri" w:eastAsia="Calibri"/>
          <w:b w:val="0"/>
          <w:i w:val="0"/>
          <w:color w:val="222222"/>
          <w:sz w:val="19"/>
        </w:rPr>
        <w:t xml:space="preserve"> Head of Research &amp; Industry Solutions (Annual Update).</w:t>
      </w:r>
    </w:p>
    <w:p>
      <w:pPr>
        <w:keepNext/>
        <w:spacing w:before="160" w:after="40"/>
      </w:pPr>
      <w:r>
        <w:rPr>
          <w:rFonts w:ascii="Calibri" w:hAnsi="Calibri" w:eastAsia="Calibri"/>
          <w:b/>
          <w:i w:val="0"/>
          <w:color w:val="1E2660"/>
          <w:sz w:val="20"/>
        </w:rPr>
        <w:t>DOC-05: Customer Success Case Study: Tier-1 Private Commercial Bank</w:t>
      </w:r>
    </w:p>
    <w:p>
      <w:pPr>
        <w:pStyle w:val="ListBullet"/>
        <w:spacing w:after="40" w:line="276" w:lineRule="auto"/>
      </w:pPr>
      <w:r>
        <w:rPr>
          <w:rFonts w:ascii="Calibri" w:hAnsi="Calibri" w:eastAsia="Calibri"/>
          <w:b/>
          <w:i w:val="0"/>
          <w:color w:val="222222"/>
          <w:sz w:val="19"/>
        </w:rPr>
        <w:t>Target File Path:</w:t>
      </w:r>
      <w:r>
        <w:rPr>
          <w:rFonts w:ascii="Calibri" w:hAnsi="Calibri" w:eastAsia="Calibri"/>
          <w:b w:val="0"/>
          <w:i w:val="0"/>
          <w:color w:val="222222"/>
          <w:sz w:val="19"/>
        </w:rPr>
        <w:t xml:space="preserve"> </w:t>
      </w:r>
      <w:r>
        <w:rPr>
          <w:rFonts w:ascii="Consolas" w:hAnsi="Consolas" w:eastAsia="Consolas"/>
          <w:b w:val="0"/>
          <w:i w:val="0"/>
          <w:color w:val="8B0000"/>
          <w:sz w:val="18"/>
        </w:rPr>
        <w:t>business_document/01_strategic_marketing/DOC-05_Case_Study_Tier1_Bank.md</w:t>
      </w:r>
    </w:p>
    <w:p>
      <w:pPr>
        <w:pStyle w:val="ListBullet"/>
        <w:spacing w:after="40" w:line="276" w:lineRule="auto"/>
      </w:pPr>
      <w:r>
        <w:rPr>
          <w:rFonts w:ascii="Calibri" w:hAnsi="Calibri" w:eastAsia="Calibri"/>
          <w:b/>
          <w:i w:val="0"/>
          <w:color w:val="222222"/>
          <w:sz w:val="19"/>
        </w:rPr>
        <w:t>Lifecycle Phase:</w:t>
      </w:r>
      <w:r>
        <w:rPr>
          <w:rFonts w:ascii="Calibri" w:hAnsi="Calibri" w:eastAsia="Calibri"/>
          <w:b w:val="0"/>
          <w:i w:val="0"/>
          <w:color w:val="222222"/>
          <w:sz w:val="19"/>
        </w:rPr>
        <w:t xml:space="preserve"> Validation, Trust Building &amp; Late-Stage Sales Defense</w:t>
      </w:r>
    </w:p>
    <w:p>
      <w:pPr>
        <w:pStyle w:val="ListBullet"/>
        <w:spacing w:after="40" w:line="276" w:lineRule="auto"/>
      </w:pPr>
      <w:r>
        <w:rPr>
          <w:rFonts w:ascii="Calibri" w:hAnsi="Calibri" w:eastAsia="Calibri"/>
          <w:b/>
          <w:i w:val="0"/>
          <w:color w:val="222222"/>
          <w:sz w:val="19"/>
        </w:rPr>
        <w:t>Target Audience:</w:t>
      </w:r>
      <w:r>
        <w:rPr>
          <w:rFonts w:ascii="Calibri" w:hAnsi="Calibri" w:eastAsia="Calibri"/>
          <w:b w:val="0"/>
          <w:i w:val="0"/>
          <w:color w:val="222222"/>
          <w:sz w:val="19"/>
        </w:rPr>
        <w:t xml:space="preserve"> Procurement Evaluation Committees, Heads of Credit, Chief Risk Officers</w:t>
      </w:r>
    </w:p>
    <w:p>
      <w:pPr>
        <w:pStyle w:val="ListBullet"/>
        <w:spacing w:after="40" w:line="276" w:lineRule="auto"/>
      </w:pPr>
      <w:r>
        <w:rPr>
          <w:rFonts w:ascii="Calibri" w:hAnsi="Calibri" w:eastAsia="Calibri"/>
          <w:b/>
          <w:i w:val="0"/>
          <w:color w:val="222222"/>
          <w:sz w:val="19"/>
        </w:rPr>
        <w:t>Operational Purpose:</w:t>
      </w:r>
      <w:r>
        <w:rPr>
          <w:rFonts w:ascii="Calibri" w:hAnsi="Calibri" w:eastAsia="Calibri"/>
          <w:b w:val="0"/>
          <w:i w:val="0"/>
          <w:color w:val="222222"/>
          <w:sz w:val="19"/>
        </w:rPr>
        <w:t xml:space="preserve"> An in-depth, metrics-grounded transformation case study detailing how a prominent scheduled commercial bank (ABC Bank Bangladesh) replaced manual paper origination with ULMS.</w:t>
      </w:r>
    </w:p>
    <w:p>
      <w:pPr>
        <w:pStyle w:val="ListBullet"/>
        <w:spacing w:after="40" w:line="276" w:lineRule="auto"/>
      </w:pPr>
      <w:r>
        <w:rPr>
          <w:rFonts w:ascii="Calibri" w:hAnsi="Calibri" w:eastAsia="Calibri"/>
          <w:b/>
          <w:i w:val="0"/>
          <w:color w:val="222222"/>
          <w:sz w:val="19"/>
        </w:rPr>
        <w:t>Detailed Table of Contents:</w:t>
      </w:r>
    </w:p>
    <w:p>
      <w:pPr>
        <w:spacing w:after="80" w:line="276" w:lineRule="auto"/>
      </w:pPr>
      <w:r>
        <w:rPr>
          <w:rFonts w:ascii="Calibri" w:hAnsi="Calibri" w:eastAsia="Calibri"/>
          <w:b w:val="0"/>
          <w:i w:val="0"/>
          <w:color w:val="222222"/>
          <w:sz w:val="19"/>
        </w:rPr>
        <w:t>1. Client Profile: Scheduled Private Commercial Bank with 120+ Branches and ৳12,000 Crore Loan Portfolio</w:t>
      </w:r>
    </w:p>
    <w:p>
      <w:pPr>
        <w:spacing w:after="80" w:line="276" w:lineRule="auto"/>
      </w:pPr>
      <w:r>
        <w:rPr>
          <w:rFonts w:ascii="Calibri" w:hAnsi="Calibri" w:eastAsia="Calibri"/>
          <w:b w:val="0"/>
          <w:i w:val="0"/>
          <w:color w:val="222222"/>
          <w:sz w:val="19"/>
        </w:rPr>
        <w:t>2. Pre-Implementation Dilemma: 21-Day Retail TAT, Manual BOCC Folders, 8% NPL Rate, Stalled Audit Filings</w:t>
      </w:r>
    </w:p>
    <w:p>
      <w:pPr>
        <w:spacing w:after="80" w:line="276" w:lineRule="auto"/>
      </w:pPr>
      <w:r>
        <w:rPr>
          <w:rFonts w:ascii="Calibri" w:hAnsi="Calibri" w:eastAsia="Calibri"/>
          <w:b w:val="0"/>
          <w:i w:val="0"/>
          <w:color w:val="222222"/>
          <w:sz w:val="19"/>
        </w:rPr>
        <w:t>3. Evaluation &amp; Selection: Why ABC Bank Rejected Multinational Vendors in Favor of ULMS</w:t>
      </w:r>
    </w:p>
    <w:p>
      <w:pPr>
        <w:spacing w:after="80" w:line="276" w:lineRule="auto"/>
      </w:pPr>
      <w:r>
        <w:rPr>
          <w:rFonts w:ascii="Calibri" w:hAnsi="Calibri" w:eastAsia="Calibri"/>
          <w:b w:val="0"/>
          <w:i w:val="0"/>
          <w:color w:val="222222"/>
          <w:sz w:val="19"/>
        </w:rPr>
        <w:t>4. Phased Implementation Journey: 12-Week Pilot in 10 Urban &amp; Rural Branches; Full Rollout in 6 Months</w:t>
      </w:r>
    </w:p>
    <w:p>
      <w:pPr>
        <w:spacing w:after="80" w:line="276" w:lineRule="auto"/>
      </w:pPr>
      <w:r>
        <w:rPr>
          <w:rFonts w:ascii="Calibri" w:hAnsi="Calibri" w:eastAsia="Calibri"/>
          <w:b w:val="0"/>
          <w:i w:val="0"/>
          <w:color w:val="222222"/>
          <w:sz w:val="19"/>
        </w:rPr>
        <w:t>5. Core Integrations Delivered: Flora Bank CBS, CIB Online REST, Election Commission NIDW, bKash Gateway</w:t>
      </w:r>
    </w:p>
    <w:p>
      <w:pPr>
        <w:spacing w:after="80" w:line="276" w:lineRule="auto"/>
      </w:pPr>
      <w:r>
        <w:rPr>
          <w:rFonts w:ascii="Calibri" w:hAnsi="Calibri" w:eastAsia="Calibri"/>
          <w:b w:val="0"/>
          <w:i w:val="0"/>
          <w:color w:val="222222"/>
          <w:sz w:val="19"/>
        </w:rPr>
        <w:t>6. Verified Quantitative Outcomes: TAT Dropped to 48 Hours, NPLs Reduced by 1.8%, 100% Clean Audit by Bangladesh Bank</w:t>
      </w:r>
    </w:p>
    <w:p>
      <w:pPr>
        <w:spacing w:after="80" w:line="276" w:lineRule="auto"/>
      </w:pPr>
      <w:r>
        <w:rPr>
          <w:rFonts w:ascii="Calibri" w:hAnsi="Calibri" w:eastAsia="Calibri"/>
          <w:b w:val="0"/>
          <w:i w:val="0"/>
          <w:color w:val="222222"/>
          <w:sz w:val="19"/>
        </w:rPr>
        <w:t>7. Testimonial Quotes: Managing Director, Head of Credit Operations, Chief Information Officer</w:t>
      </w:r>
    </w:p>
    <w:p>
      <w:pPr>
        <w:pStyle w:val="ListBullet"/>
        <w:spacing w:after="40" w:line="276" w:lineRule="auto"/>
      </w:pPr>
      <w:r>
        <w:rPr>
          <w:rFonts w:ascii="Calibri" w:hAnsi="Calibri" w:eastAsia="Calibri"/>
          <w:b/>
          <w:i w:val="0"/>
          <w:color w:val="222222"/>
          <w:sz w:val="19"/>
        </w:rPr>
        <w:t>Core Value Proposition:</w:t>
      </w:r>
      <w:r>
        <w:rPr>
          <w:rFonts w:ascii="Calibri" w:hAnsi="Calibri" w:eastAsia="Calibri"/>
          <w:b w:val="0"/>
          <w:i w:val="0"/>
          <w:color w:val="222222"/>
          <w:sz w:val="19"/>
        </w:rPr>
        <w:t xml:space="preserve"> Social proof and de-risking: Proves that ULMS is already tested, proven, and operational in a rigorous real-world Bangladesh banking environment.</w:t>
      </w:r>
    </w:p>
    <w:p>
      <w:pPr>
        <w:pStyle w:val="ListBullet"/>
        <w:spacing w:after="40" w:line="276" w:lineRule="auto"/>
      </w:pPr>
      <w:r>
        <w:rPr>
          <w:rFonts w:ascii="Calibri" w:hAnsi="Calibri" w:eastAsia="Calibri"/>
          <w:b/>
          <w:i w:val="0"/>
          <w:color w:val="222222"/>
          <w:sz w:val="19"/>
        </w:rPr>
        <w:t>Required Inputs &amp; Exhibits:</w:t>
      </w:r>
      <w:r>
        <w:rPr>
          <w:rFonts w:ascii="Calibri" w:hAnsi="Calibri" w:eastAsia="Calibri"/>
          <w:b w:val="0"/>
          <w:i w:val="0"/>
          <w:color w:val="222222"/>
          <w:sz w:val="19"/>
        </w:rPr>
        <w:t xml:space="preserve"> Before-and-after operational metrics, workflow progression chart, customer executive quotes.</w:t>
      </w:r>
    </w:p>
    <w:p>
      <w:pPr>
        <w:pStyle w:val="ListBullet"/>
        <w:spacing w:after="40" w:line="276" w:lineRule="auto"/>
      </w:pPr>
      <w:r>
        <w:rPr>
          <w:rFonts w:ascii="Calibri" w:hAnsi="Calibri" w:eastAsia="Calibri"/>
          <w:b/>
          <w:i w:val="0"/>
          <w:color w:val="222222"/>
          <w:sz w:val="19"/>
        </w:rPr>
        <w:t>Maintenance Owner:</w:t>
      </w:r>
      <w:r>
        <w:rPr>
          <w:rFonts w:ascii="Calibri" w:hAnsi="Calibri" w:eastAsia="Calibri"/>
          <w:b w:val="0"/>
          <w:i w:val="0"/>
          <w:color w:val="222222"/>
          <w:sz w:val="19"/>
        </w:rPr>
        <w:t xml:space="preserve"> Senior Solutions Consultant (Semi-Annual Review).</w:t>
      </w:r>
    </w:p>
    <w:p>
      <w:pPr>
        <w:keepNext/>
        <w:spacing w:before="160" w:after="40"/>
      </w:pPr>
      <w:r>
        <w:rPr>
          <w:rFonts w:ascii="Calibri" w:hAnsi="Calibri" w:eastAsia="Calibri"/>
          <w:b/>
          <w:i w:val="0"/>
          <w:color w:val="1E2660"/>
          <w:sz w:val="20"/>
        </w:rPr>
        <w:t>DOC-06: Press Release &amp; Product Launch Announcement Kit</w:t>
      </w:r>
    </w:p>
    <w:p>
      <w:pPr>
        <w:pStyle w:val="ListBullet"/>
        <w:spacing w:after="40" w:line="276" w:lineRule="auto"/>
      </w:pPr>
      <w:r>
        <w:rPr>
          <w:rFonts w:ascii="Calibri" w:hAnsi="Calibri" w:eastAsia="Calibri"/>
          <w:b/>
          <w:i w:val="0"/>
          <w:color w:val="222222"/>
          <w:sz w:val="19"/>
        </w:rPr>
        <w:t>Target File Path:</w:t>
      </w:r>
      <w:r>
        <w:rPr>
          <w:rFonts w:ascii="Calibri" w:hAnsi="Calibri" w:eastAsia="Calibri"/>
          <w:b w:val="0"/>
          <w:i w:val="0"/>
          <w:color w:val="222222"/>
          <w:sz w:val="19"/>
        </w:rPr>
        <w:t xml:space="preserve"> </w:t>
      </w:r>
      <w:r>
        <w:rPr>
          <w:rFonts w:ascii="Consolas" w:hAnsi="Consolas" w:eastAsia="Consolas"/>
          <w:b w:val="0"/>
          <w:i w:val="0"/>
          <w:color w:val="8B0000"/>
          <w:sz w:val="18"/>
        </w:rPr>
        <w:t>business_document/01_strategic_marketing/DOC-06_Press_Release_Launch_Kit.md</w:t>
      </w:r>
    </w:p>
    <w:p>
      <w:pPr>
        <w:pStyle w:val="ListBullet"/>
        <w:spacing w:after="40" w:line="276" w:lineRule="auto"/>
      </w:pPr>
      <w:r>
        <w:rPr>
          <w:rFonts w:ascii="Calibri" w:hAnsi="Calibri" w:eastAsia="Calibri"/>
          <w:b/>
          <w:i w:val="0"/>
          <w:color w:val="222222"/>
          <w:sz w:val="19"/>
        </w:rPr>
        <w:t>Lifecycle Phase:</w:t>
      </w:r>
      <w:r>
        <w:rPr>
          <w:rFonts w:ascii="Calibri" w:hAnsi="Calibri" w:eastAsia="Calibri"/>
          <w:b w:val="0"/>
          <w:i w:val="0"/>
          <w:color w:val="222222"/>
          <w:sz w:val="19"/>
        </w:rPr>
        <w:t xml:space="preserve"> Brand Marketing, PR &amp; Industry Media Distribution</w:t>
      </w:r>
    </w:p>
    <w:p>
      <w:pPr>
        <w:pStyle w:val="ListBullet"/>
        <w:spacing w:after="40" w:line="276" w:lineRule="auto"/>
      </w:pPr>
      <w:r>
        <w:rPr>
          <w:rFonts w:ascii="Calibri" w:hAnsi="Calibri" w:eastAsia="Calibri"/>
          <w:b/>
          <w:i w:val="0"/>
          <w:color w:val="222222"/>
          <w:sz w:val="19"/>
        </w:rPr>
        <w:t>Target Audience:</w:t>
      </w:r>
      <w:r>
        <w:rPr>
          <w:rFonts w:ascii="Calibri" w:hAnsi="Calibri" w:eastAsia="Calibri"/>
          <w:b w:val="0"/>
          <w:i w:val="0"/>
          <w:color w:val="222222"/>
          <w:sz w:val="19"/>
        </w:rPr>
        <w:t xml:space="preserve"> Financial Journalists (The Daily Star, Financial Express, Prothom Alo), Banking Analysts, Fintech Media</w:t>
      </w:r>
    </w:p>
    <w:p>
      <w:pPr>
        <w:pStyle w:val="ListBullet"/>
        <w:spacing w:after="40" w:line="276" w:lineRule="auto"/>
      </w:pPr>
      <w:r>
        <w:rPr>
          <w:rFonts w:ascii="Calibri" w:hAnsi="Calibri" w:eastAsia="Calibri"/>
          <w:b/>
          <w:i w:val="0"/>
          <w:color w:val="222222"/>
          <w:sz w:val="19"/>
        </w:rPr>
        <w:t>Operational Purpose:</w:t>
      </w:r>
      <w:r>
        <w:rPr>
          <w:rFonts w:ascii="Calibri" w:hAnsi="Calibri" w:eastAsia="Calibri"/>
          <w:b w:val="0"/>
          <w:i w:val="0"/>
          <w:color w:val="222222"/>
          <w:sz w:val="19"/>
        </w:rPr>
        <w:t xml:space="preserve"> Standardized media kit and official press release templates announcing major version milestones, banking partnerships, and awards.</w:t>
      </w:r>
    </w:p>
    <w:p>
      <w:pPr>
        <w:pStyle w:val="ListBullet"/>
        <w:spacing w:after="40" w:line="276" w:lineRule="auto"/>
      </w:pPr>
      <w:r>
        <w:rPr>
          <w:rFonts w:ascii="Calibri" w:hAnsi="Calibri" w:eastAsia="Calibri"/>
          <w:b/>
          <w:i w:val="0"/>
          <w:color w:val="222222"/>
          <w:sz w:val="19"/>
        </w:rPr>
        <w:t>Detailed Table of Contents:</w:t>
      </w:r>
    </w:p>
    <w:p>
      <w:pPr>
        <w:spacing w:after="80" w:line="276" w:lineRule="auto"/>
      </w:pPr>
      <w:r>
        <w:rPr>
          <w:rFonts w:ascii="Calibri" w:hAnsi="Calibri" w:eastAsia="Calibri"/>
          <w:b w:val="0"/>
          <w:i w:val="0"/>
          <w:color w:val="222222"/>
          <w:sz w:val="19"/>
        </w:rPr>
        <w:t>1. Master Press Release: Unisoft Launches ULMS v2.0 to Revolutionize Core Digital Lending in Bangladesh</w:t>
      </w:r>
    </w:p>
    <w:p>
      <w:pPr>
        <w:spacing w:after="80" w:line="276" w:lineRule="auto"/>
      </w:pPr>
      <w:r>
        <w:rPr>
          <w:rFonts w:ascii="Calibri" w:hAnsi="Calibri" w:eastAsia="Calibri"/>
          <w:b w:val="0"/>
          <w:i w:val="0"/>
          <w:color w:val="222222"/>
          <w:sz w:val="19"/>
        </w:rPr>
        <w:t>2. Executive Quotes: Chairman of Smart Technologies BD Ltd &amp; Managing Director of Unisoft Systems</w:t>
      </w:r>
    </w:p>
    <w:p>
      <w:pPr>
        <w:spacing w:after="80" w:line="276" w:lineRule="auto"/>
      </w:pPr>
      <w:r>
        <w:rPr>
          <w:rFonts w:ascii="Calibri" w:hAnsi="Calibri" w:eastAsia="Calibri"/>
          <w:b w:val="0"/>
          <w:i w:val="0"/>
          <w:color w:val="222222"/>
          <w:sz w:val="19"/>
        </w:rPr>
        <w:t>3. Key Product Highlights &amp; Regulatory Grounding</w:t>
      </w:r>
    </w:p>
    <w:p>
      <w:pPr>
        <w:spacing w:after="80" w:line="276" w:lineRule="auto"/>
      </w:pPr>
      <w:r>
        <w:rPr>
          <w:rFonts w:ascii="Calibri" w:hAnsi="Calibri" w:eastAsia="Calibri"/>
          <w:b w:val="0"/>
          <w:i w:val="0"/>
          <w:color w:val="222222"/>
          <w:sz w:val="19"/>
        </w:rPr>
        <w:t>4. Media Fact Sheet: Unisoft Systems Limited by the Numbers</w:t>
      </w:r>
    </w:p>
    <w:p>
      <w:pPr>
        <w:spacing w:after="80" w:line="276" w:lineRule="auto"/>
      </w:pPr>
      <w:r>
        <w:rPr>
          <w:rFonts w:ascii="Calibri" w:hAnsi="Calibri" w:eastAsia="Calibri"/>
          <w:b w:val="0"/>
          <w:i w:val="0"/>
          <w:color w:val="222222"/>
          <w:sz w:val="19"/>
        </w:rPr>
        <w:t>5. High-Resolution Asset Links: Product Screenshots, Executive Portraits, Corporate Logos</w:t>
      </w:r>
    </w:p>
    <w:p>
      <w:pPr>
        <w:spacing w:after="80" w:line="276" w:lineRule="auto"/>
      </w:pPr>
      <w:r>
        <w:rPr>
          <w:rFonts w:ascii="Calibri" w:hAnsi="Calibri" w:eastAsia="Calibri"/>
          <w:b w:val="0"/>
          <w:i w:val="0"/>
          <w:color w:val="222222"/>
          <w:sz w:val="19"/>
        </w:rPr>
        <w:t>6. Media Contact Information &amp; Press Inquiry Protocol</w:t>
      </w:r>
    </w:p>
    <w:p>
      <w:pPr>
        <w:pStyle w:val="ListBullet"/>
        <w:spacing w:after="40" w:line="276" w:lineRule="auto"/>
      </w:pPr>
      <w:r>
        <w:rPr>
          <w:rFonts w:ascii="Calibri" w:hAnsi="Calibri" w:eastAsia="Calibri"/>
          <w:b/>
          <w:i w:val="0"/>
          <w:color w:val="222222"/>
          <w:sz w:val="19"/>
        </w:rPr>
        <w:t>Core Value Proposition:</w:t>
      </w:r>
      <w:r>
        <w:rPr>
          <w:rFonts w:ascii="Calibri" w:hAnsi="Calibri" w:eastAsia="Calibri"/>
          <w:b w:val="0"/>
          <w:i w:val="0"/>
          <w:color w:val="222222"/>
          <w:sz w:val="19"/>
        </w:rPr>
        <w:t xml:space="preserve"> Ensure consistent, professional, high-impact public relations messaging across all national media channels.</w:t>
      </w:r>
    </w:p>
    <w:p>
      <w:pPr>
        <w:pStyle w:val="ListBullet"/>
        <w:spacing w:after="40" w:line="276" w:lineRule="auto"/>
      </w:pPr>
      <w:r>
        <w:rPr>
          <w:rFonts w:ascii="Calibri" w:hAnsi="Calibri" w:eastAsia="Calibri"/>
          <w:b/>
          <w:i w:val="0"/>
          <w:color w:val="222222"/>
          <w:sz w:val="19"/>
        </w:rPr>
        <w:t>Required Inputs &amp; Exhibits:</w:t>
      </w:r>
      <w:r>
        <w:rPr>
          <w:rFonts w:ascii="Calibri" w:hAnsi="Calibri" w:eastAsia="Calibri"/>
          <w:b w:val="0"/>
          <w:i w:val="0"/>
          <w:color w:val="222222"/>
          <w:sz w:val="19"/>
        </w:rPr>
        <w:t xml:space="preserve"> Official media boilerplate, executive quotes, media contact details.</w:t>
      </w:r>
    </w:p>
    <w:p>
      <w:pPr>
        <w:pStyle w:val="ListBullet"/>
        <w:spacing w:after="40" w:line="276" w:lineRule="auto"/>
      </w:pPr>
      <w:r>
        <w:rPr>
          <w:rFonts w:ascii="Calibri" w:hAnsi="Calibri" w:eastAsia="Calibri"/>
          <w:b/>
          <w:i w:val="0"/>
          <w:color w:val="222222"/>
          <w:sz w:val="19"/>
        </w:rPr>
        <w:t>Maintenance Owner:</w:t>
      </w:r>
      <w:r>
        <w:rPr>
          <w:rFonts w:ascii="Calibri" w:hAnsi="Calibri" w:eastAsia="Calibri"/>
          <w:b w:val="0"/>
          <w:i w:val="0"/>
          <w:color w:val="222222"/>
          <w:sz w:val="19"/>
        </w:rPr>
        <w:t xml:space="preserve"> Corporate Communications Lead.</w:t>
      </w:r>
    </w:p>
    <w:p>
      <w:pPr>
        <w:pStyle w:val="Heading3"/>
        <w:keepNext/>
      </w:pPr>
      <w:r>
        <w:t>CATEGORY 2: SALES ENABLEMENT, PLAYBOOKS &amp; DISCOVERY TOOLKIT (CAT-02)</w:t>
      </w:r>
    </w:p>
    <w:p>
      <w:pPr>
        <w:keepNext/>
        <w:spacing w:before="160" w:after="40"/>
      </w:pPr>
      <w:r>
        <w:rPr>
          <w:rFonts w:ascii="Calibri" w:hAnsi="Calibri" w:eastAsia="Calibri"/>
          <w:b/>
          <w:i w:val="0"/>
          <w:color w:val="1E2660"/>
          <w:sz w:val="20"/>
        </w:rPr>
        <w:t>DOC-07: Enterprise Sales Playbook (End-to-End Methodology)</w:t>
      </w:r>
    </w:p>
    <w:p>
      <w:pPr>
        <w:pStyle w:val="ListBullet"/>
        <w:spacing w:after="40" w:line="276" w:lineRule="auto"/>
      </w:pPr>
      <w:r>
        <w:rPr>
          <w:rFonts w:ascii="Calibri" w:hAnsi="Calibri" w:eastAsia="Calibri"/>
          <w:b/>
          <w:i w:val="0"/>
          <w:color w:val="222222"/>
          <w:sz w:val="19"/>
        </w:rPr>
        <w:t>Target File Path:</w:t>
      </w:r>
      <w:r>
        <w:rPr>
          <w:rFonts w:ascii="Calibri" w:hAnsi="Calibri" w:eastAsia="Calibri"/>
          <w:b w:val="0"/>
          <w:i w:val="0"/>
          <w:color w:val="222222"/>
          <w:sz w:val="19"/>
        </w:rPr>
        <w:t xml:space="preserve"> </w:t>
      </w:r>
      <w:r>
        <w:rPr>
          <w:rFonts w:ascii="Consolas" w:hAnsi="Consolas" w:eastAsia="Consolas"/>
          <w:b w:val="0"/>
          <w:i w:val="0"/>
          <w:color w:val="8B0000"/>
          <w:sz w:val="18"/>
        </w:rPr>
        <w:t>business_document/02_sales_enablement/DOC-07_Enterprise_Sales_Playbook.md</w:t>
      </w:r>
    </w:p>
    <w:p>
      <w:pPr>
        <w:pStyle w:val="ListBullet"/>
        <w:spacing w:after="40" w:line="276" w:lineRule="auto"/>
      </w:pPr>
      <w:r>
        <w:rPr>
          <w:rFonts w:ascii="Calibri" w:hAnsi="Calibri" w:eastAsia="Calibri"/>
          <w:b/>
          <w:i w:val="0"/>
          <w:color w:val="222222"/>
          <w:sz w:val="19"/>
        </w:rPr>
        <w:t>Lifecycle Phase:</w:t>
      </w:r>
      <w:r>
        <w:rPr>
          <w:rFonts w:ascii="Calibri" w:hAnsi="Calibri" w:eastAsia="Calibri"/>
          <w:b w:val="0"/>
          <w:i w:val="0"/>
          <w:color w:val="222222"/>
          <w:sz w:val="19"/>
        </w:rPr>
        <w:t xml:space="preserve"> Internal Sales Training &amp; Operations</w:t>
      </w:r>
    </w:p>
    <w:p>
      <w:pPr>
        <w:pStyle w:val="ListBullet"/>
        <w:spacing w:after="40" w:line="276" w:lineRule="auto"/>
      </w:pPr>
      <w:r>
        <w:rPr>
          <w:rFonts w:ascii="Calibri" w:hAnsi="Calibri" w:eastAsia="Calibri"/>
          <w:b/>
          <w:i w:val="0"/>
          <w:color w:val="222222"/>
          <w:sz w:val="19"/>
        </w:rPr>
        <w:t>Target Audience:</w:t>
      </w:r>
      <w:r>
        <w:rPr>
          <w:rFonts w:ascii="Calibri" w:hAnsi="Calibri" w:eastAsia="Calibri"/>
          <w:b w:val="0"/>
          <w:i w:val="0"/>
          <w:color w:val="222222"/>
          <w:sz w:val="19"/>
        </w:rPr>
        <w:t xml:space="preserve"> Account Executives, Sales Directors, Business Development Managers, Pre-Sales Engineers</w:t>
      </w:r>
    </w:p>
    <w:p>
      <w:pPr>
        <w:pStyle w:val="ListBullet"/>
        <w:spacing w:after="40" w:line="276" w:lineRule="auto"/>
      </w:pPr>
      <w:r>
        <w:rPr>
          <w:rFonts w:ascii="Calibri" w:hAnsi="Calibri" w:eastAsia="Calibri"/>
          <w:b/>
          <w:i w:val="0"/>
          <w:color w:val="222222"/>
          <w:sz w:val="19"/>
        </w:rPr>
        <w:t>Operational Purpose:</w:t>
      </w:r>
      <w:r>
        <w:rPr>
          <w:rFonts w:ascii="Calibri" w:hAnsi="Calibri" w:eastAsia="Calibri"/>
          <w:b w:val="0"/>
          <w:i w:val="0"/>
          <w:color w:val="222222"/>
          <w:sz w:val="19"/>
        </w:rPr>
        <w:t xml:space="preserve"> The definitive, step-by-step operational manual for executing the ULMS sales motion from account mapping to contract close.</w:t>
      </w:r>
    </w:p>
    <w:p>
      <w:pPr>
        <w:pStyle w:val="ListBullet"/>
        <w:spacing w:after="40" w:line="276" w:lineRule="auto"/>
      </w:pPr>
      <w:r>
        <w:rPr>
          <w:rFonts w:ascii="Calibri" w:hAnsi="Calibri" w:eastAsia="Calibri"/>
          <w:b/>
          <w:i w:val="0"/>
          <w:color w:val="222222"/>
          <w:sz w:val="19"/>
        </w:rPr>
        <w:t>Detailed Table of Contents:</w:t>
      </w:r>
    </w:p>
    <w:p>
      <w:pPr>
        <w:spacing w:after="80" w:line="276" w:lineRule="auto"/>
      </w:pPr>
      <w:r>
        <w:rPr>
          <w:rFonts w:ascii="Calibri" w:hAnsi="Calibri" w:eastAsia="Calibri"/>
          <w:b w:val="0"/>
          <w:i w:val="0"/>
          <w:color w:val="222222"/>
          <w:sz w:val="19"/>
        </w:rPr>
        <w:t>1. The ULMS Sales Philosophy: The Trusted Advisory Partner vs. Transactional Vendor</w:t>
      </w:r>
    </w:p>
    <w:p>
      <w:pPr>
        <w:spacing w:after="80" w:line="276" w:lineRule="auto"/>
      </w:pPr>
      <w:r>
        <w:rPr>
          <w:rFonts w:ascii="Calibri" w:hAnsi="Calibri" w:eastAsia="Calibri"/>
          <w:b w:val="0"/>
          <w:i w:val="0"/>
          <w:color w:val="222222"/>
          <w:sz w:val="19"/>
        </w:rPr>
        <w:t>2. Target Market Segmentation: Tier-1 PCBs, Tier-2 PCBs, Islamic Banks, SOCBs, NBFIs</w:t>
      </w:r>
    </w:p>
    <w:p>
      <w:pPr>
        <w:spacing w:after="80" w:line="276" w:lineRule="auto"/>
      </w:pPr>
      <w:r>
        <w:rPr>
          <w:rFonts w:ascii="Calibri" w:hAnsi="Calibri" w:eastAsia="Calibri"/>
          <w:b w:val="0"/>
          <w:i w:val="0"/>
          <w:color w:val="222222"/>
          <w:sz w:val="19"/>
        </w:rPr>
        <w:t>3. The 7-Stage Sales Lifecycle: Detailed Entrance Criteria, Action Steps, Exit Criteria, and Deliverables</w:t>
      </w:r>
    </w:p>
    <w:p>
      <w:pPr>
        <w:spacing w:after="80" w:line="276" w:lineRule="auto"/>
      </w:pPr>
      <w:r>
        <w:rPr>
          <w:rFonts w:ascii="Calibri" w:hAnsi="Calibri" w:eastAsia="Calibri"/>
          <w:b w:val="0"/>
          <w:i w:val="0"/>
          <w:color w:val="222222"/>
          <w:sz w:val="19"/>
        </w:rPr>
        <w:t>4. Account Mapping: How to Navigate Bank Hierarchies and Identify Hidden Gatekeepers</w:t>
      </w:r>
    </w:p>
    <w:p>
      <w:pPr>
        <w:spacing w:after="80" w:line="276" w:lineRule="auto"/>
      </w:pPr>
      <w:r>
        <w:rPr>
          <w:rFonts w:ascii="Calibri" w:hAnsi="Calibri" w:eastAsia="Calibri"/>
          <w:b w:val="0"/>
          <w:i w:val="0"/>
          <w:color w:val="222222"/>
          <w:sz w:val="19"/>
        </w:rPr>
        <w:t>5. Multi-Threading Strategy: Managing Parallel Relationships Across Business, IT, Risk, and Procurement</w:t>
      </w:r>
    </w:p>
    <w:p>
      <w:pPr>
        <w:spacing w:after="80" w:line="276" w:lineRule="auto"/>
      </w:pPr>
      <w:r>
        <w:rPr>
          <w:rFonts w:ascii="Calibri" w:hAnsi="Calibri" w:eastAsia="Calibri"/>
          <w:b w:val="0"/>
          <w:i w:val="0"/>
          <w:color w:val="222222"/>
          <w:sz w:val="19"/>
        </w:rPr>
        <w:t>6. Deal Velocity Acceleration: Overcoming Stalled Procurement Committees and Audit Freezes</w:t>
      </w:r>
    </w:p>
    <w:p>
      <w:pPr>
        <w:spacing w:after="80" w:line="276" w:lineRule="auto"/>
      </w:pPr>
      <w:r>
        <w:rPr>
          <w:rFonts w:ascii="Calibri" w:hAnsi="Calibri" w:eastAsia="Calibri"/>
          <w:b w:val="0"/>
          <w:i w:val="0"/>
          <w:color w:val="222222"/>
          <w:sz w:val="19"/>
        </w:rPr>
        <w:t>7. Key Sales Metrics &amp; Pipeline Governance: Stage Probabilities, Forecast Rules, CRM Cadence</w:t>
      </w:r>
    </w:p>
    <w:p>
      <w:pPr>
        <w:spacing w:after="80" w:line="276" w:lineRule="auto"/>
      </w:pPr>
      <w:r>
        <w:rPr>
          <w:rFonts w:ascii="Calibri" w:hAnsi="Calibri" w:eastAsia="Calibri"/>
          <w:b w:val="0"/>
          <w:i w:val="0"/>
          <w:color w:val="222222"/>
          <w:sz w:val="19"/>
        </w:rPr>
        <w:t>8. Post-Deal Transition Protocol: Ensuring Seamless Handover to Engineering</w:t>
      </w:r>
    </w:p>
    <w:p>
      <w:pPr>
        <w:pStyle w:val="ListBullet"/>
        <w:spacing w:after="40" w:line="276" w:lineRule="auto"/>
      </w:pPr>
      <w:r>
        <w:rPr>
          <w:rFonts w:ascii="Calibri" w:hAnsi="Calibri" w:eastAsia="Calibri"/>
          <w:b/>
          <w:i w:val="0"/>
          <w:color w:val="222222"/>
          <w:sz w:val="19"/>
        </w:rPr>
        <w:t>Core Value Proposition:</w:t>
      </w:r>
      <w:r>
        <w:rPr>
          <w:rFonts w:ascii="Calibri" w:hAnsi="Calibri" w:eastAsia="Calibri"/>
          <w:b w:val="0"/>
          <w:i w:val="0"/>
          <w:color w:val="222222"/>
          <w:sz w:val="19"/>
        </w:rPr>
        <w:t xml:space="preserve"> Provide sales reps with an institutional operating rhythm that eliminates ad-hoc selling and maximizes win rates across long banking deal cycles.</w:t>
      </w:r>
    </w:p>
    <w:p>
      <w:pPr>
        <w:pStyle w:val="ListBullet"/>
        <w:spacing w:after="40" w:line="276" w:lineRule="auto"/>
      </w:pPr>
      <w:r>
        <w:rPr>
          <w:rFonts w:ascii="Calibri" w:hAnsi="Calibri" w:eastAsia="Calibri"/>
          <w:b/>
          <w:i w:val="0"/>
          <w:color w:val="222222"/>
          <w:sz w:val="19"/>
        </w:rPr>
        <w:t>Required Inputs &amp; Exhibits:</w:t>
      </w:r>
      <w:r>
        <w:rPr>
          <w:rFonts w:ascii="Calibri" w:hAnsi="Calibri" w:eastAsia="Calibri"/>
          <w:b w:val="0"/>
          <w:i w:val="0"/>
          <w:color w:val="222222"/>
          <w:sz w:val="19"/>
        </w:rPr>
        <w:t xml:space="preserve"> Sales stage gate checklist, pipeline velocity chart, account mapping template.</w:t>
      </w:r>
    </w:p>
    <w:p>
      <w:pPr>
        <w:pStyle w:val="ListBullet"/>
        <w:spacing w:after="40" w:line="276" w:lineRule="auto"/>
      </w:pPr>
      <w:r>
        <w:rPr>
          <w:rFonts w:ascii="Calibri" w:hAnsi="Calibri" w:eastAsia="Calibri"/>
          <w:b/>
          <w:i w:val="0"/>
          <w:color w:val="222222"/>
          <w:sz w:val="19"/>
        </w:rPr>
        <w:t>Maintenance Owner:</w:t>
      </w:r>
      <w:r>
        <w:rPr>
          <w:rFonts w:ascii="Calibri" w:hAnsi="Calibri" w:eastAsia="Calibri"/>
          <w:b w:val="0"/>
          <w:i w:val="0"/>
          <w:color w:val="222222"/>
          <w:sz w:val="19"/>
        </w:rPr>
        <w:t xml:space="preserve"> Head of Business Development (Quarterly Review).</w:t>
      </w:r>
    </w:p>
    <w:p>
      <w:pPr>
        <w:keepNext/>
        <w:spacing w:before="160" w:after="40"/>
      </w:pPr>
      <w:r>
        <w:rPr>
          <w:rFonts w:ascii="Calibri" w:hAnsi="Calibri" w:eastAsia="Calibri"/>
          <w:b/>
          <w:i w:val="0"/>
          <w:color w:val="1E2660"/>
          <w:sz w:val="20"/>
        </w:rPr>
        <w:t>DOC-08: Buyer Persona &amp; Buying Committee Decision Matrix</w:t>
      </w:r>
    </w:p>
    <w:p>
      <w:pPr>
        <w:pStyle w:val="ListBullet"/>
        <w:spacing w:after="40" w:line="276" w:lineRule="auto"/>
      </w:pPr>
      <w:r>
        <w:rPr>
          <w:rFonts w:ascii="Calibri" w:hAnsi="Calibri" w:eastAsia="Calibri"/>
          <w:b/>
          <w:i w:val="0"/>
          <w:color w:val="222222"/>
          <w:sz w:val="19"/>
        </w:rPr>
        <w:t>Target File Path:</w:t>
      </w:r>
      <w:r>
        <w:rPr>
          <w:rFonts w:ascii="Calibri" w:hAnsi="Calibri" w:eastAsia="Calibri"/>
          <w:b w:val="0"/>
          <w:i w:val="0"/>
          <w:color w:val="222222"/>
          <w:sz w:val="19"/>
        </w:rPr>
        <w:t xml:space="preserve"> </w:t>
      </w:r>
      <w:r>
        <w:rPr>
          <w:rFonts w:ascii="Consolas" w:hAnsi="Consolas" w:eastAsia="Consolas"/>
          <w:b w:val="0"/>
          <w:i w:val="0"/>
          <w:color w:val="8B0000"/>
          <w:sz w:val="18"/>
        </w:rPr>
        <w:t>business_document/02_sales_enablement/DOC-08_Buyer_Persona_Matrix.md</w:t>
      </w:r>
    </w:p>
    <w:p>
      <w:pPr>
        <w:pStyle w:val="ListBullet"/>
        <w:spacing w:after="40" w:line="276" w:lineRule="auto"/>
      </w:pPr>
      <w:r>
        <w:rPr>
          <w:rFonts w:ascii="Calibri" w:hAnsi="Calibri" w:eastAsia="Calibri"/>
          <w:b/>
          <w:i w:val="0"/>
          <w:color w:val="222222"/>
          <w:sz w:val="19"/>
        </w:rPr>
        <w:t>Lifecycle Phase:</w:t>
      </w:r>
      <w:r>
        <w:rPr>
          <w:rFonts w:ascii="Calibri" w:hAnsi="Calibri" w:eastAsia="Calibri"/>
          <w:b w:val="0"/>
          <w:i w:val="0"/>
          <w:color w:val="222222"/>
          <w:sz w:val="19"/>
        </w:rPr>
        <w:t xml:space="preserve"> Account Discovery &amp; Pitch Customization</w:t>
      </w:r>
    </w:p>
    <w:p>
      <w:pPr>
        <w:pStyle w:val="ListBullet"/>
        <w:spacing w:after="40" w:line="276" w:lineRule="auto"/>
      </w:pPr>
      <w:r>
        <w:rPr>
          <w:rFonts w:ascii="Calibri" w:hAnsi="Calibri" w:eastAsia="Calibri"/>
          <w:b/>
          <w:i w:val="0"/>
          <w:color w:val="222222"/>
          <w:sz w:val="19"/>
        </w:rPr>
        <w:t>Target Audience:</w:t>
      </w:r>
      <w:r>
        <w:rPr>
          <w:rFonts w:ascii="Calibri" w:hAnsi="Calibri" w:eastAsia="Calibri"/>
          <w:b w:val="0"/>
          <w:i w:val="0"/>
          <w:color w:val="222222"/>
          <w:sz w:val="19"/>
        </w:rPr>
        <w:t xml:space="preserve"> Sales Account Executives, Solution Architects, Content Marketers</w:t>
      </w:r>
    </w:p>
    <w:p>
      <w:pPr>
        <w:pStyle w:val="ListBullet"/>
        <w:spacing w:after="40" w:line="276" w:lineRule="auto"/>
      </w:pPr>
      <w:r>
        <w:rPr>
          <w:rFonts w:ascii="Calibri" w:hAnsi="Calibri" w:eastAsia="Calibri"/>
          <w:b/>
          <w:i w:val="0"/>
          <w:color w:val="222222"/>
          <w:sz w:val="19"/>
        </w:rPr>
        <w:t>Operational Purpose:</w:t>
      </w:r>
      <w:r>
        <w:rPr>
          <w:rFonts w:ascii="Calibri" w:hAnsi="Calibri" w:eastAsia="Calibri"/>
          <w:b w:val="0"/>
          <w:i w:val="0"/>
          <w:color w:val="222222"/>
          <w:sz w:val="19"/>
        </w:rPr>
        <w:t xml:space="preserve"> Deep psychiatric and functional analysis of each key member of a bank’s buying committee, mapping their KPIs, fears, objections, and winning proof points.</w:t>
      </w:r>
    </w:p>
    <w:p>
      <w:pPr>
        <w:pStyle w:val="ListBullet"/>
        <w:spacing w:after="40" w:line="276" w:lineRule="auto"/>
      </w:pPr>
      <w:r>
        <w:rPr>
          <w:rFonts w:ascii="Calibri" w:hAnsi="Calibri" w:eastAsia="Calibri"/>
          <w:b/>
          <w:i w:val="0"/>
          <w:color w:val="222222"/>
          <w:sz w:val="19"/>
        </w:rPr>
        <w:t>Detailed Table of Contents:</w:t>
      </w:r>
    </w:p>
    <w:p>
      <w:pPr>
        <w:spacing w:after="80" w:line="276" w:lineRule="auto"/>
      </w:pPr>
      <w:r>
        <w:rPr>
          <w:rFonts w:ascii="Calibri" w:hAnsi="Calibri" w:eastAsia="Calibri"/>
          <w:b w:val="0"/>
          <w:i w:val="0"/>
          <w:color w:val="222222"/>
          <w:sz w:val="19"/>
        </w:rPr>
        <w:t>1. Overview of the Bank Buying Committee Dynamics (Consensus-Driven, Risk-Averse, Bureaucratic)</w:t>
      </w:r>
    </w:p>
    <w:p>
      <w:pPr>
        <w:spacing w:after="80" w:line="276" w:lineRule="auto"/>
      </w:pPr>
      <w:r>
        <w:rPr>
          <w:rFonts w:ascii="Calibri" w:hAnsi="Calibri" w:eastAsia="Calibri"/>
          <w:b w:val="0"/>
          <w:i w:val="0"/>
          <w:color w:val="222222"/>
          <w:sz w:val="19"/>
        </w:rPr>
        <w:t>2. Persona 1: The Managing Director / CEO (Visionary, Profitability-Driven, Market Share Focused)</w:t>
      </w:r>
    </w:p>
    <w:p>
      <w:pPr>
        <w:spacing w:after="80" w:line="276" w:lineRule="auto"/>
      </w:pPr>
      <w:r>
        <w:rPr>
          <w:rFonts w:ascii="Calibri" w:hAnsi="Calibri" w:eastAsia="Calibri"/>
          <w:b w:val="0"/>
          <w:i w:val="0"/>
          <w:color w:val="222222"/>
          <w:sz w:val="19"/>
        </w:rPr>
        <w:t>3. Persona 2: The Chief Risk Officer (CRO) (Asset Quality, NPL Mitigation, Audit Defense, Conservative)</w:t>
      </w:r>
    </w:p>
    <w:p>
      <w:pPr>
        <w:spacing w:after="80" w:line="276" w:lineRule="auto"/>
      </w:pPr>
      <w:r>
        <w:rPr>
          <w:rFonts w:ascii="Calibri" w:hAnsi="Calibri" w:eastAsia="Calibri"/>
          <w:b w:val="0"/>
          <w:i w:val="0"/>
          <w:color w:val="222222"/>
          <w:sz w:val="19"/>
        </w:rPr>
        <w:t>4. Persona 3: The Chief Information Officer (CIO/CTO) (Architecture, Integration, Security, Infrastructure Load)</w:t>
      </w:r>
    </w:p>
    <w:p>
      <w:pPr>
        <w:spacing w:after="80" w:line="276" w:lineRule="auto"/>
      </w:pPr>
      <w:r>
        <w:rPr>
          <w:rFonts w:ascii="Calibri" w:hAnsi="Calibri" w:eastAsia="Calibri"/>
          <w:b w:val="0"/>
          <w:i w:val="0"/>
          <w:color w:val="222222"/>
          <w:sz w:val="19"/>
        </w:rPr>
        <w:t>5. Persona 4: The Chief Financial Officer (CFO) (CapEx vs. OpEx, TCO, Forex Risk, ROI, Payback Horizon)</w:t>
      </w:r>
    </w:p>
    <w:p>
      <w:pPr>
        <w:spacing w:after="80" w:line="276" w:lineRule="auto"/>
      </w:pPr>
      <w:r>
        <w:rPr>
          <w:rFonts w:ascii="Calibri" w:hAnsi="Calibri" w:eastAsia="Calibri"/>
          <w:b w:val="0"/>
          <w:i w:val="0"/>
          <w:color w:val="222222"/>
          <w:sz w:val="19"/>
        </w:rPr>
        <w:t>6. Persona 5: Head of Credit Operations / Retail / SME (Turnaround Time, Manual Workload, BOCC Automation)</w:t>
      </w:r>
    </w:p>
    <w:p>
      <w:pPr>
        <w:spacing w:after="80" w:line="276" w:lineRule="auto"/>
      </w:pPr>
      <w:r>
        <w:rPr>
          <w:rFonts w:ascii="Calibri" w:hAnsi="Calibri" w:eastAsia="Calibri"/>
          <w:b w:val="0"/>
          <w:i w:val="0"/>
          <w:color w:val="222222"/>
          <w:sz w:val="19"/>
        </w:rPr>
        <w:t>7. Persona 6: Head of Islamic Banking (Shariah Compliance, Murabaha Accounting, Shariah Board Audit)</w:t>
      </w:r>
    </w:p>
    <w:p>
      <w:pPr>
        <w:spacing w:after="80" w:line="276" w:lineRule="auto"/>
      </w:pPr>
      <w:r>
        <w:rPr>
          <w:rFonts w:ascii="Calibri" w:hAnsi="Calibri" w:eastAsia="Calibri"/>
          <w:b w:val="0"/>
          <w:i w:val="0"/>
          <w:color w:val="222222"/>
          <w:sz w:val="19"/>
        </w:rPr>
        <w:t>8. Persona 7: Head of Internal Control &amp; Compliance (ICC) (Bangladesh Bank Circulars, Audit Trails, Fraud Prevention)</w:t>
      </w:r>
    </w:p>
    <w:p>
      <w:pPr>
        <w:spacing w:after="80" w:line="276" w:lineRule="auto"/>
      </w:pPr>
      <w:r>
        <w:rPr>
          <w:rFonts w:ascii="Calibri" w:hAnsi="Calibri" w:eastAsia="Calibri"/>
          <w:b w:val="0"/>
          <w:i w:val="0"/>
          <w:color w:val="222222"/>
          <w:sz w:val="19"/>
        </w:rPr>
        <w:t>9. Persona 8: Head of Procurement / Tender Committee (PPR 2008 Rules, Lowest Evaluated Bid, Vendor Viability)</w:t>
      </w:r>
    </w:p>
    <w:p>
      <w:pPr>
        <w:spacing w:after="80" w:line="276" w:lineRule="auto"/>
      </w:pPr>
      <w:r>
        <w:rPr>
          <w:rFonts w:ascii="Calibri" w:hAnsi="Calibri" w:eastAsia="Calibri"/>
          <w:b w:val="0"/>
          <w:i w:val="0"/>
          <w:color w:val="222222"/>
          <w:sz w:val="19"/>
        </w:rPr>
        <w:t>10. Cross-Persona Alignment Matrix: How to Build Consensus Across Competing Agendas</w:t>
      </w:r>
    </w:p>
    <w:p>
      <w:pPr>
        <w:pStyle w:val="ListBullet"/>
        <w:spacing w:after="40" w:line="276" w:lineRule="auto"/>
      </w:pPr>
      <w:r>
        <w:rPr>
          <w:rFonts w:ascii="Calibri" w:hAnsi="Calibri" w:eastAsia="Calibri"/>
          <w:b/>
          <w:i w:val="0"/>
          <w:color w:val="222222"/>
          <w:sz w:val="19"/>
        </w:rPr>
        <w:t>Core Value Proposition:</w:t>
      </w:r>
      <w:r>
        <w:rPr>
          <w:rFonts w:ascii="Calibri" w:hAnsi="Calibri" w:eastAsia="Calibri"/>
          <w:b w:val="0"/>
          <w:i w:val="0"/>
          <w:color w:val="222222"/>
          <w:sz w:val="19"/>
        </w:rPr>
        <w:t xml:space="preserve"> Enable sales reps to tailor messaging with surgical precision to whoever sits across the table, neutralizing blockers before they emerge.</w:t>
      </w:r>
    </w:p>
    <w:p>
      <w:pPr>
        <w:pStyle w:val="ListBullet"/>
        <w:spacing w:after="40" w:line="276" w:lineRule="auto"/>
      </w:pPr>
      <w:r>
        <w:rPr>
          <w:rFonts w:ascii="Calibri" w:hAnsi="Calibri" w:eastAsia="Calibri"/>
          <w:b/>
          <w:i w:val="0"/>
          <w:color w:val="222222"/>
          <w:sz w:val="19"/>
        </w:rPr>
        <w:t>Required Inputs &amp; Exhibits:</w:t>
      </w:r>
      <w:r>
        <w:rPr>
          <w:rFonts w:ascii="Calibri" w:hAnsi="Calibri" w:eastAsia="Calibri"/>
          <w:b w:val="0"/>
          <w:i w:val="0"/>
          <w:color w:val="222222"/>
          <w:sz w:val="19"/>
        </w:rPr>
        <w:t xml:space="preserve"> Persona comparison tables, stakeholder map diagram.</w:t>
      </w:r>
    </w:p>
    <w:p>
      <w:pPr>
        <w:pStyle w:val="ListBullet"/>
        <w:spacing w:after="40" w:line="276" w:lineRule="auto"/>
      </w:pPr>
      <w:r>
        <w:rPr>
          <w:rFonts w:ascii="Calibri" w:hAnsi="Calibri" w:eastAsia="Calibri"/>
          <w:b/>
          <w:i w:val="0"/>
          <w:color w:val="222222"/>
          <w:sz w:val="19"/>
        </w:rPr>
        <w:t>Maintenance Owner:</w:t>
      </w:r>
      <w:r>
        <w:rPr>
          <w:rFonts w:ascii="Calibri" w:hAnsi="Calibri" w:eastAsia="Calibri"/>
          <w:b w:val="0"/>
          <w:i w:val="0"/>
          <w:color w:val="222222"/>
          <w:sz w:val="19"/>
        </w:rPr>
        <w:t xml:space="preserve"> Lead Product Marketer (Quarterly Review).</w:t>
      </w:r>
    </w:p>
    <w:p>
      <w:pPr>
        <w:keepNext/>
        <w:spacing w:before="160" w:after="40"/>
      </w:pPr>
      <w:r>
        <w:rPr>
          <w:rFonts w:ascii="Calibri" w:hAnsi="Calibri" w:eastAsia="Calibri"/>
          <w:b/>
          <w:i w:val="0"/>
          <w:color w:val="1E2660"/>
          <w:sz w:val="20"/>
        </w:rPr>
        <w:t>DOC-09: MEDDPIC Deal Qualification &amp; Discovery Questionnaire</w:t>
      </w:r>
    </w:p>
    <w:p>
      <w:pPr>
        <w:pStyle w:val="ListBullet"/>
        <w:spacing w:after="40" w:line="276" w:lineRule="auto"/>
      </w:pPr>
      <w:r>
        <w:rPr>
          <w:rFonts w:ascii="Calibri" w:hAnsi="Calibri" w:eastAsia="Calibri"/>
          <w:b/>
          <w:i w:val="0"/>
          <w:color w:val="222222"/>
          <w:sz w:val="19"/>
        </w:rPr>
        <w:t>Target File Path:</w:t>
      </w:r>
      <w:r>
        <w:rPr>
          <w:rFonts w:ascii="Calibri" w:hAnsi="Calibri" w:eastAsia="Calibri"/>
          <w:b w:val="0"/>
          <w:i w:val="0"/>
          <w:color w:val="222222"/>
          <w:sz w:val="19"/>
        </w:rPr>
        <w:t xml:space="preserve"> </w:t>
      </w:r>
      <w:r>
        <w:rPr>
          <w:rFonts w:ascii="Consolas" w:hAnsi="Consolas" w:eastAsia="Consolas"/>
          <w:b w:val="0"/>
          <w:i w:val="0"/>
          <w:color w:val="8B0000"/>
          <w:sz w:val="18"/>
        </w:rPr>
        <w:t>business_document/02_sales_enablement/DOC-09_MEDDPIC_Deal_Qualification.md</w:t>
      </w:r>
    </w:p>
    <w:p>
      <w:pPr>
        <w:pStyle w:val="ListBullet"/>
        <w:spacing w:after="40" w:line="276" w:lineRule="auto"/>
      </w:pPr>
      <w:r>
        <w:rPr>
          <w:rFonts w:ascii="Calibri" w:hAnsi="Calibri" w:eastAsia="Calibri"/>
          <w:b/>
          <w:i w:val="0"/>
          <w:color w:val="222222"/>
          <w:sz w:val="19"/>
        </w:rPr>
        <w:t>Lifecycle Phase:</w:t>
      </w:r>
      <w:r>
        <w:rPr>
          <w:rFonts w:ascii="Calibri" w:hAnsi="Calibri" w:eastAsia="Calibri"/>
          <w:b w:val="0"/>
          <w:i w:val="0"/>
          <w:color w:val="222222"/>
          <w:sz w:val="19"/>
        </w:rPr>
        <w:t xml:space="preserve"> Initial Meeting &amp; Deal Qualification</w:t>
      </w:r>
    </w:p>
    <w:p>
      <w:pPr>
        <w:pStyle w:val="ListBullet"/>
        <w:spacing w:after="40" w:line="276" w:lineRule="auto"/>
      </w:pPr>
      <w:r>
        <w:rPr>
          <w:rFonts w:ascii="Calibri" w:hAnsi="Calibri" w:eastAsia="Calibri"/>
          <w:b/>
          <w:i w:val="0"/>
          <w:color w:val="222222"/>
          <w:sz w:val="19"/>
        </w:rPr>
        <w:t>Target Audience:</w:t>
      </w:r>
      <w:r>
        <w:rPr>
          <w:rFonts w:ascii="Calibri" w:hAnsi="Calibri" w:eastAsia="Calibri"/>
          <w:b w:val="0"/>
          <w:i w:val="0"/>
          <w:color w:val="222222"/>
          <w:sz w:val="19"/>
        </w:rPr>
        <w:t xml:space="preserve"> Enterprise Account Executives, Solution Consultants</w:t>
      </w:r>
    </w:p>
    <w:p>
      <w:pPr>
        <w:pStyle w:val="ListBullet"/>
        <w:spacing w:after="40" w:line="276" w:lineRule="auto"/>
      </w:pPr>
      <w:r>
        <w:rPr>
          <w:rFonts w:ascii="Calibri" w:hAnsi="Calibri" w:eastAsia="Calibri"/>
          <w:b/>
          <w:i w:val="0"/>
          <w:color w:val="222222"/>
          <w:sz w:val="19"/>
        </w:rPr>
        <w:t>Operational Purpose:</w:t>
      </w:r>
      <w:r>
        <w:rPr>
          <w:rFonts w:ascii="Calibri" w:hAnsi="Calibri" w:eastAsia="Calibri"/>
          <w:b w:val="0"/>
          <w:i w:val="0"/>
          <w:color w:val="222222"/>
          <w:sz w:val="19"/>
        </w:rPr>
        <w:t xml:space="preserve"> A rigorous qualification framework tailored specifically for banking software deals to eliminate unqualified leads and focus on high-probability opportunities.</w:t>
      </w:r>
    </w:p>
    <w:p>
      <w:pPr>
        <w:pStyle w:val="ListBullet"/>
        <w:spacing w:after="40" w:line="276" w:lineRule="auto"/>
      </w:pPr>
      <w:r>
        <w:rPr>
          <w:rFonts w:ascii="Calibri" w:hAnsi="Calibri" w:eastAsia="Calibri"/>
          <w:b/>
          <w:i w:val="0"/>
          <w:color w:val="222222"/>
          <w:sz w:val="19"/>
        </w:rPr>
        <w:t>Detailed Table of Contents:</w:t>
      </w:r>
    </w:p>
    <w:p>
      <w:pPr>
        <w:spacing w:after="80" w:line="276" w:lineRule="auto"/>
      </w:pPr>
      <w:r>
        <w:rPr>
          <w:rFonts w:ascii="Calibri" w:hAnsi="Calibri" w:eastAsia="Calibri"/>
          <w:b w:val="0"/>
          <w:i w:val="0"/>
          <w:color w:val="222222"/>
          <w:sz w:val="19"/>
        </w:rPr>
        <w:t>1. Introduction to MEDDPIC in Bangladesh Banking Sales</w:t>
      </w:r>
    </w:p>
    <w:p>
      <w:pPr>
        <w:spacing w:after="80" w:line="276" w:lineRule="auto"/>
      </w:pPr>
      <w:r>
        <w:rPr>
          <w:rFonts w:ascii="Calibri" w:hAnsi="Calibri" w:eastAsia="Calibri"/>
          <w:b w:val="0"/>
          <w:i w:val="0"/>
          <w:color w:val="222222"/>
          <w:sz w:val="19"/>
        </w:rPr>
        <w:t xml:space="preserve">2. </w:t>
      </w:r>
      <w:r>
        <w:rPr>
          <w:rFonts w:ascii="Calibri" w:hAnsi="Calibri" w:eastAsia="Calibri"/>
          <w:b/>
          <w:i w:val="0"/>
          <w:color w:val="222222"/>
          <w:sz w:val="19"/>
        </w:rPr>
        <w:t>M — Metrics:</w:t>
      </w:r>
      <w:r>
        <w:rPr>
          <w:rFonts w:ascii="Calibri" w:hAnsi="Calibri" w:eastAsia="Calibri"/>
          <w:b w:val="0"/>
          <w:i w:val="0"/>
          <w:color w:val="222222"/>
          <w:sz w:val="19"/>
        </w:rPr>
        <w:t xml:space="preserve"> Uncovering the Economic Quantifiers (Current TAT, NPL Ratio, Annual IT Budget, File Volumes)</w:t>
      </w:r>
    </w:p>
    <w:p>
      <w:pPr>
        <w:spacing w:after="80" w:line="276" w:lineRule="auto"/>
      </w:pPr>
      <w:r>
        <w:rPr>
          <w:rFonts w:ascii="Calibri" w:hAnsi="Calibri" w:eastAsia="Calibri"/>
          <w:b w:val="0"/>
          <w:i w:val="0"/>
          <w:color w:val="222222"/>
          <w:sz w:val="19"/>
        </w:rPr>
        <w:t xml:space="preserve">3. </w:t>
      </w:r>
      <w:r>
        <w:rPr>
          <w:rFonts w:ascii="Calibri" w:hAnsi="Calibri" w:eastAsia="Calibri"/>
          <w:b/>
          <w:i w:val="0"/>
          <w:color w:val="222222"/>
          <w:sz w:val="19"/>
        </w:rPr>
        <w:t>E — Economic Buyer:</w:t>
      </w:r>
      <w:r>
        <w:rPr>
          <w:rFonts w:ascii="Calibri" w:hAnsi="Calibri" w:eastAsia="Calibri"/>
          <w:b w:val="0"/>
          <w:i w:val="0"/>
          <w:color w:val="222222"/>
          <w:sz w:val="19"/>
        </w:rPr>
        <w:t xml:space="preserve"> Identifying and Engaging the Sole Decision Maker (MD, Board ICT Committee Chair)</w:t>
      </w:r>
    </w:p>
    <w:p>
      <w:pPr>
        <w:spacing w:after="80" w:line="276" w:lineRule="auto"/>
      </w:pPr>
      <w:r>
        <w:rPr>
          <w:rFonts w:ascii="Calibri" w:hAnsi="Calibri" w:eastAsia="Calibri"/>
          <w:b w:val="0"/>
          <w:i w:val="0"/>
          <w:color w:val="222222"/>
          <w:sz w:val="19"/>
        </w:rPr>
        <w:t xml:space="preserve">4. </w:t>
      </w:r>
      <w:r>
        <w:rPr>
          <w:rFonts w:ascii="Calibri" w:hAnsi="Calibri" w:eastAsia="Calibri"/>
          <w:b/>
          <w:i w:val="0"/>
          <w:color w:val="222222"/>
          <w:sz w:val="19"/>
        </w:rPr>
        <w:t>D — Decision Criteria:</w:t>
      </w:r>
      <w:r>
        <w:rPr>
          <w:rFonts w:ascii="Calibri" w:hAnsi="Calibri" w:eastAsia="Calibri"/>
          <w:b w:val="0"/>
          <w:i w:val="0"/>
          <w:color w:val="222222"/>
          <w:sz w:val="19"/>
        </w:rPr>
        <w:t xml:space="preserve"> Mapping Technical, Functional, Financial, and Compliance Benchmarks</w:t>
      </w:r>
    </w:p>
    <w:p>
      <w:pPr>
        <w:spacing w:after="80" w:line="276" w:lineRule="auto"/>
      </w:pPr>
      <w:r>
        <w:rPr>
          <w:rFonts w:ascii="Calibri" w:hAnsi="Calibri" w:eastAsia="Calibri"/>
          <w:b w:val="0"/>
          <w:i w:val="0"/>
          <w:color w:val="222222"/>
          <w:sz w:val="19"/>
        </w:rPr>
        <w:t xml:space="preserve">5. </w:t>
      </w:r>
      <w:r>
        <w:rPr>
          <w:rFonts w:ascii="Calibri" w:hAnsi="Calibri" w:eastAsia="Calibri"/>
          <w:b/>
          <w:i w:val="0"/>
          <w:color w:val="222222"/>
          <w:sz w:val="19"/>
        </w:rPr>
        <w:t>D — Decision Process:</w:t>
      </w:r>
      <w:r>
        <w:rPr>
          <w:rFonts w:ascii="Calibri" w:hAnsi="Calibri" w:eastAsia="Calibri"/>
          <w:b w:val="0"/>
          <w:i w:val="0"/>
          <w:color w:val="222222"/>
          <w:sz w:val="19"/>
        </w:rPr>
        <w:t xml:space="preserve"> Documenting the Formal Steps (Evaluation Committee, Board Approval, Tender Notice)</w:t>
      </w:r>
    </w:p>
    <w:p>
      <w:pPr>
        <w:spacing w:after="80" w:line="276" w:lineRule="auto"/>
      </w:pPr>
      <w:r>
        <w:rPr>
          <w:rFonts w:ascii="Calibri" w:hAnsi="Calibri" w:eastAsia="Calibri"/>
          <w:b w:val="0"/>
          <w:i w:val="0"/>
          <w:color w:val="222222"/>
          <w:sz w:val="19"/>
        </w:rPr>
        <w:t xml:space="preserve">6. </w:t>
      </w:r>
      <w:r>
        <w:rPr>
          <w:rFonts w:ascii="Calibri" w:hAnsi="Calibri" w:eastAsia="Calibri"/>
          <w:b/>
          <w:i w:val="0"/>
          <w:color w:val="222222"/>
          <w:sz w:val="19"/>
        </w:rPr>
        <w:t>P — Paper Process:</w:t>
      </w:r>
      <w:r>
        <w:rPr>
          <w:rFonts w:ascii="Calibri" w:hAnsi="Calibri" w:eastAsia="Calibri"/>
          <w:b w:val="0"/>
          <w:i w:val="0"/>
          <w:color w:val="222222"/>
          <w:sz w:val="19"/>
        </w:rPr>
        <w:t xml:space="preserve"> Understanding the Legal, Contracting, and Procurement Flow (PPR 2008, E-Tender, Security Review)</w:t>
      </w:r>
    </w:p>
    <w:p>
      <w:pPr>
        <w:spacing w:after="80" w:line="276" w:lineRule="auto"/>
      </w:pPr>
      <w:r>
        <w:rPr>
          <w:rFonts w:ascii="Calibri" w:hAnsi="Calibri" w:eastAsia="Calibri"/>
          <w:b w:val="0"/>
          <w:i w:val="0"/>
          <w:color w:val="222222"/>
          <w:sz w:val="19"/>
        </w:rPr>
        <w:t xml:space="preserve">7. </w:t>
      </w:r>
      <w:r>
        <w:rPr>
          <w:rFonts w:ascii="Calibri" w:hAnsi="Calibri" w:eastAsia="Calibri"/>
          <w:b/>
          <w:i w:val="0"/>
          <w:color w:val="222222"/>
          <w:sz w:val="19"/>
        </w:rPr>
        <w:t>I — Identify Pain:</w:t>
      </w:r>
      <w:r>
        <w:rPr>
          <w:rFonts w:ascii="Calibri" w:hAnsi="Calibri" w:eastAsia="Calibri"/>
          <w:b w:val="0"/>
          <w:i w:val="0"/>
          <w:color w:val="222222"/>
          <w:sz w:val="19"/>
        </w:rPr>
        <w:t xml:space="preserve"> Isolating the Critical Event (Upcoming Bangladesh Bank Audit, NPL Crisis, Core Banking Failure)</w:t>
      </w:r>
    </w:p>
    <w:p>
      <w:pPr>
        <w:spacing w:after="80" w:line="276" w:lineRule="auto"/>
      </w:pPr>
      <w:r>
        <w:rPr>
          <w:rFonts w:ascii="Calibri" w:hAnsi="Calibri" w:eastAsia="Calibri"/>
          <w:b w:val="0"/>
          <w:i w:val="0"/>
          <w:color w:val="222222"/>
          <w:sz w:val="19"/>
        </w:rPr>
        <w:t xml:space="preserve">8. </w:t>
      </w:r>
      <w:r>
        <w:rPr>
          <w:rFonts w:ascii="Calibri" w:hAnsi="Calibri" w:eastAsia="Calibri"/>
          <w:b/>
          <w:i w:val="0"/>
          <w:color w:val="222222"/>
          <w:sz w:val="19"/>
        </w:rPr>
        <w:t>C — Champion:</w:t>
      </w:r>
      <w:r>
        <w:rPr>
          <w:rFonts w:ascii="Calibri" w:hAnsi="Calibri" w:eastAsia="Calibri"/>
          <w:b w:val="0"/>
          <w:i w:val="0"/>
          <w:color w:val="222222"/>
          <w:sz w:val="19"/>
        </w:rPr>
        <w:t xml:space="preserve"> Nurturing and Equipping Internal Advocates (e.g., Forward-Thinking Head of Retail or CTO)</w:t>
      </w:r>
    </w:p>
    <w:p>
      <w:pPr>
        <w:spacing w:after="80" w:line="276" w:lineRule="auto"/>
      </w:pPr>
      <w:r>
        <w:rPr>
          <w:rFonts w:ascii="Calibri" w:hAnsi="Calibri" w:eastAsia="Calibri"/>
          <w:b w:val="0"/>
          <w:i w:val="0"/>
          <w:color w:val="222222"/>
          <w:sz w:val="19"/>
        </w:rPr>
        <w:t>9. Comprehensive 50-Question Discovery Questionnaire: Categorized by Business, Technical, and Risk Domains</w:t>
      </w:r>
    </w:p>
    <w:p>
      <w:pPr>
        <w:spacing w:after="80" w:line="276" w:lineRule="auto"/>
      </w:pPr>
      <w:r>
        <w:rPr>
          <w:rFonts w:ascii="Calibri" w:hAnsi="Calibri" w:eastAsia="Calibri"/>
          <w:b w:val="0"/>
          <w:i w:val="0"/>
          <w:color w:val="222222"/>
          <w:sz w:val="19"/>
        </w:rPr>
        <w:t>10. Opportunity Scoring Rubric (Red / Amber / Green Exit Gates)</w:t>
      </w:r>
    </w:p>
    <w:p>
      <w:pPr>
        <w:pStyle w:val="ListBullet"/>
        <w:spacing w:after="40" w:line="276" w:lineRule="auto"/>
      </w:pPr>
      <w:r>
        <w:rPr>
          <w:rFonts w:ascii="Calibri" w:hAnsi="Calibri" w:eastAsia="Calibri"/>
          <w:b/>
          <w:i w:val="0"/>
          <w:color w:val="222222"/>
          <w:sz w:val="19"/>
        </w:rPr>
        <w:t>Core Value Proposition:</w:t>
      </w:r>
      <w:r>
        <w:rPr>
          <w:rFonts w:ascii="Calibri" w:hAnsi="Calibri" w:eastAsia="Calibri"/>
          <w:b w:val="0"/>
          <w:i w:val="0"/>
          <w:color w:val="222222"/>
          <w:sz w:val="19"/>
        </w:rPr>
        <w:t xml:space="preserve"> Prevent sales reps from wasting months chasing dead or unqualified bank deals, enforcing discipline and pipeline predictability.</w:t>
      </w:r>
    </w:p>
    <w:p>
      <w:pPr>
        <w:pStyle w:val="ListBullet"/>
        <w:spacing w:after="40" w:line="276" w:lineRule="auto"/>
      </w:pPr>
      <w:r>
        <w:rPr>
          <w:rFonts w:ascii="Calibri" w:hAnsi="Calibri" w:eastAsia="Calibri"/>
          <w:b/>
          <w:i w:val="0"/>
          <w:color w:val="222222"/>
          <w:sz w:val="19"/>
        </w:rPr>
        <w:t>Required Inputs &amp; Exhibits:</w:t>
      </w:r>
      <w:r>
        <w:rPr>
          <w:rFonts w:ascii="Calibri" w:hAnsi="Calibri" w:eastAsia="Calibri"/>
          <w:b w:val="0"/>
          <w:i w:val="0"/>
          <w:color w:val="222222"/>
          <w:sz w:val="19"/>
        </w:rPr>
        <w:t xml:space="preserve"> MEDDPIC scorecard template, discovery interview scripts.</w:t>
      </w:r>
    </w:p>
    <w:p>
      <w:pPr>
        <w:pStyle w:val="ListBullet"/>
        <w:spacing w:after="40" w:line="276" w:lineRule="auto"/>
      </w:pPr>
      <w:r>
        <w:rPr>
          <w:rFonts w:ascii="Calibri" w:hAnsi="Calibri" w:eastAsia="Calibri"/>
          <w:b/>
          <w:i w:val="0"/>
          <w:color w:val="222222"/>
          <w:sz w:val="19"/>
        </w:rPr>
        <w:t>Maintenance Owner:</w:t>
      </w:r>
      <w:r>
        <w:rPr>
          <w:rFonts w:ascii="Calibri" w:hAnsi="Calibri" w:eastAsia="Calibri"/>
          <w:b w:val="0"/>
          <w:i w:val="0"/>
          <w:color w:val="222222"/>
          <w:sz w:val="19"/>
        </w:rPr>
        <w:t xml:space="preserve"> Head of Business Development.</w:t>
      </w:r>
    </w:p>
    <w:p>
      <w:pPr>
        <w:keepNext/>
        <w:spacing w:before="160" w:after="40"/>
      </w:pPr>
      <w:r>
        <w:rPr>
          <w:rFonts w:ascii="Calibri" w:hAnsi="Calibri" w:eastAsia="Calibri"/>
          <w:b/>
          <w:i w:val="0"/>
          <w:color w:val="1E2660"/>
          <w:sz w:val="20"/>
        </w:rPr>
        <w:t>DOC-10: Objection Handling &amp; Risk Mitigation Battlecard</w:t>
      </w:r>
    </w:p>
    <w:p>
      <w:pPr>
        <w:pStyle w:val="ListBullet"/>
        <w:spacing w:after="40" w:line="276" w:lineRule="auto"/>
      </w:pPr>
      <w:r>
        <w:rPr>
          <w:rFonts w:ascii="Calibri" w:hAnsi="Calibri" w:eastAsia="Calibri"/>
          <w:b/>
          <w:i w:val="0"/>
          <w:color w:val="222222"/>
          <w:sz w:val="19"/>
        </w:rPr>
        <w:t>Target File Path:</w:t>
      </w:r>
      <w:r>
        <w:rPr>
          <w:rFonts w:ascii="Calibri" w:hAnsi="Calibri" w:eastAsia="Calibri"/>
          <w:b w:val="0"/>
          <w:i w:val="0"/>
          <w:color w:val="222222"/>
          <w:sz w:val="19"/>
        </w:rPr>
        <w:t xml:space="preserve"> </w:t>
      </w:r>
      <w:r>
        <w:rPr>
          <w:rFonts w:ascii="Consolas" w:hAnsi="Consolas" w:eastAsia="Consolas"/>
          <w:b w:val="0"/>
          <w:i w:val="0"/>
          <w:color w:val="8B0000"/>
          <w:sz w:val="18"/>
        </w:rPr>
        <w:t>business_document/02_sales_enablement/DOC-10_Objection_Handling_Battlecard.md</w:t>
      </w:r>
    </w:p>
    <w:p>
      <w:pPr>
        <w:pStyle w:val="ListBullet"/>
        <w:spacing w:after="40" w:line="276" w:lineRule="auto"/>
      </w:pPr>
      <w:r>
        <w:rPr>
          <w:rFonts w:ascii="Calibri" w:hAnsi="Calibri" w:eastAsia="Calibri"/>
          <w:b/>
          <w:i w:val="0"/>
          <w:color w:val="222222"/>
          <w:sz w:val="19"/>
        </w:rPr>
        <w:t>Lifecycle Phase:</w:t>
      </w:r>
      <w:r>
        <w:rPr>
          <w:rFonts w:ascii="Calibri" w:hAnsi="Calibri" w:eastAsia="Calibri"/>
          <w:b w:val="0"/>
          <w:i w:val="0"/>
          <w:color w:val="222222"/>
          <w:sz w:val="19"/>
        </w:rPr>
        <w:t xml:space="preserve"> Discovery, Demo &amp; Negotiation</w:t>
      </w:r>
    </w:p>
    <w:p>
      <w:pPr>
        <w:pStyle w:val="ListBullet"/>
        <w:spacing w:after="40" w:line="276" w:lineRule="auto"/>
      </w:pPr>
      <w:r>
        <w:rPr>
          <w:rFonts w:ascii="Calibri" w:hAnsi="Calibri" w:eastAsia="Calibri"/>
          <w:b/>
          <w:i w:val="0"/>
          <w:color w:val="222222"/>
          <w:sz w:val="19"/>
        </w:rPr>
        <w:t>Target Audience:</w:t>
      </w:r>
      <w:r>
        <w:rPr>
          <w:rFonts w:ascii="Calibri" w:hAnsi="Calibri" w:eastAsia="Calibri"/>
          <w:b w:val="0"/>
          <w:i w:val="0"/>
          <w:color w:val="222222"/>
          <w:sz w:val="19"/>
        </w:rPr>
        <w:t xml:space="preserve"> Account Executives, Solution Engineers, Technical Sales Consultants</w:t>
      </w:r>
    </w:p>
    <w:p>
      <w:pPr>
        <w:pStyle w:val="ListBullet"/>
        <w:spacing w:after="40" w:line="276" w:lineRule="auto"/>
      </w:pPr>
      <w:r>
        <w:rPr>
          <w:rFonts w:ascii="Calibri" w:hAnsi="Calibri" w:eastAsia="Calibri"/>
          <w:b/>
          <w:i w:val="0"/>
          <w:color w:val="222222"/>
          <w:sz w:val="19"/>
        </w:rPr>
        <w:t>Operational Purpose:</w:t>
      </w:r>
      <w:r>
        <w:rPr>
          <w:rFonts w:ascii="Calibri" w:hAnsi="Calibri" w:eastAsia="Calibri"/>
          <w:b w:val="0"/>
          <w:i w:val="0"/>
          <w:color w:val="222222"/>
          <w:sz w:val="19"/>
        </w:rPr>
        <w:t xml:space="preserve"> Pre-scripted, battle-tested responses to the top 25+ objections raised by bank stakeholders regarding local software, security, migration risks, and pricing.</w:t>
      </w:r>
    </w:p>
    <w:p>
      <w:pPr>
        <w:pStyle w:val="ListBullet"/>
        <w:spacing w:after="40" w:line="276" w:lineRule="auto"/>
      </w:pPr>
      <w:r>
        <w:rPr>
          <w:rFonts w:ascii="Calibri" w:hAnsi="Calibri" w:eastAsia="Calibri"/>
          <w:b/>
          <w:i w:val="0"/>
          <w:color w:val="222222"/>
          <w:sz w:val="19"/>
        </w:rPr>
        <w:t>Detailed Table of Contents:</w:t>
      </w:r>
    </w:p>
    <w:p>
      <w:pPr>
        <w:spacing w:after="80" w:line="276" w:lineRule="auto"/>
      </w:pPr>
      <w:r>
        <w:rPr>
          <w:rFonts w:ascii="Calibri" w:hAnsi="Calibri" w:eastAsia="Calibri"/>
          <w:b w:val="0"/>
          <w:i w:val="0"/>
          <w:color w:val="222222"/>
          <w:sz w:val="19"/>
        </w:rPr>
        <w:t>1. Objection Taxonomy: Corporate Viability, Technical Architecture, Regulatory Risk, Pricing, Switching Costs</w:t>
      </w:r>
    </w:p>
    <w:p>
      <w:pPr>
        <w:spacing w:after="80" w:line="276" w:lineRule="auto"/>
      </w:pPr>
      <w:r>
        <w:rPr>
          <w:rFonts w:ascii="Calibri" w:hAnsi="Calibri" w:eastAsia="Calibri"/>
          <w:b w:val="0"/>
          <w:i w:val="0"/>
          <w:color w:val="222222"/>
          <w:sz w:val="19"/>
        </w:rPr>
        <w:t>2. Category A: "Why should we trust a local software company over global giants like Finastra or Temenos?"</w:t>
      </w:r>
    </w:p>
    <w:p>
      <w:pPr>
        <w:spacing w:after="80" w:line="276" w:lineRule="auto"/>
      </w:pPr>
      <w:r>
        <w:rPr>
          <w:rFonts w:ascii="Calibri" w:hAnsi="Calibri" w:eastAsia="Calibri"/>
          <w:b w:val="0"/>
          <w:i w:val="0"/>
          <w:color w:val="222222"/>
          <w:sz w:val="19"/>
        </w:rPr>
        <w:t>3. Category B: "Will this integrate with our existing Core Banking System (e.g., T24, FLEXCUBE, Finacle)?"</w:t>
      </w:r>
    </w:p>
    <w:p>
      <w:pPr>
        <w:spacing w:after="80" w:line="276" w:lineRule="auto"/>
      </w:pPr>
      <w:r>
        <w:rPr>
          <w:rFonts w:ascii="Calibri" w:hAnsi="Calibri" w:eastAsia="Calibri"/>
          <w:b w:val="0"/>
          <w:i w:val="0"/>
          <w:color w:val="222222"/>
          <w:sz w:val="19"/>
        </w:rPr>
        <w:t>4. Category C: "How do we know ULMS complies 100% with Bangladesh Bank’s newest BRPD Circular 15/2024?"</w:t>
      </w:r>
    </w:p>
    <w:p>
      <w:pPr>
        <w:spacing w:after="80" w:line="276" w:lineRule="auto"/>
      </w:pPr>
      <w:r>
        <w:rPr>
          <w:rFonts w:ascii="Calibri" w:hAnsi="Calibri" w:eastAsia="Calibri"/>
          <w:b w:val="0"/>
          <w:i w:val="0"/>
          <w:color w:val="222222"/>
          <w:sz w:val="19"/>
        </w:rPr>
        <w:t>5. Category D: "Our IT policy strictly prohibits cloud deployments. Can ULMS run completely on-premise in our private datacenter?"</w:t>
      </w:r>
    </w:p>
    <w:p>
      <w:pPr>
        <w:spacing w:after="80" w:line="276" w:lineRule="auto"/>
      </w:pPr>
      <w:r>
        <w:rPr>
          <w:rFonts w:ascii="Calibri" w:hAnsi="Calibri" w:eastAsia="Calibri"/>
          <w:b w:val="0"/>
          <w:i w:val="0"/>
          <w:color w:val="222222"/>
          <w:sz w:val="19"/>
        </w:rPr>
        <w:t>6. Category E: "Can our existing staff easily learn and configure the system without hiring developers?"</w:t>
      </w:r>
    </w:p>
    <w:p>
      <w:pPr>
        <w:spacing w:after="80" w:line="276" w:lineRule="auto"/>
      </w:pPr>
      <w:r>
        <w:rPr>
          <w:rFonts w:ascii="Calibri" w:hAnsi="Calibri" w:eastAsia="Calibri"/>
          <w:b w:val="0"/>
          <w:i w:val="0"/>
          <w:color w:val="222222"/>
          <w:sz w:val="19"/>
        </w:rPr>
        <w:t>7. Category F: "What happens if Bangladesh Bank changes a circular next month? Who updates the software?"</w:t>
      </w:r>
    </w:p>
    <w:p>
      <w:pPr>
        <w:spacing w:after="80" w:line="276" w:lineRule="auto"/>
      </w:pPr>
      <w:r>
        <w:rPr>
          <w:rFonts w:ascii="Calibri" w:hAnsi="Calibri" w:eastAsia="Calibri"/>
          <w:b w:val="0"/>
          <w:i w:val="0"/>
          <w:color w:val="222222"/>
          <w:sz w:val="19"/>
        </w:rPr>
        <w:t>8. Category G: "We already have an in-house lending workflow built by our IT team. Why buy ULMS?"</w:t>
      </w:r>
    </w:p>
    <w:p>
      <w:pPr>
        <w:spacing w:after="80" w:line="276" w:lineRule="auto"/>
      </w:pPr>
      <w:r>
        <w:rPr>
          <w:rFonts w:ascii="Calibri" w:hAnsi="Calibri" w:eastAsia="Calibri"/>
          <w:b w:val="0"/>
          <w:i w:val="0"/>
          <w:color w:val="222222"/>
          <w:sz w:val="19"/>
        </w:rPr>
        <w:t>9. Category H: "Your price is higher than small local custom software shops. Why pay more for ULMS?"</w:t>
      </w:r>
    </w:p>
    <w:p>
      <w:pPr>
        <w:spacing w:after="80" w:line="276" w:lineRule="auto"/>
      </w:pPr>
      <w:r>
        <w:rPr>
          <w:rFonts w:ascii="Calibri" w:hAnsi="Calibri" w:eastAsia="Calibri"/>
          <w:b w:val="0"/>
          <w:i w:val="0"/>
          <w:color w:val="222222"/>
          <w:sz w:val="19"/>
        </w:rPr>
        <w:t>10. The 4-Step Objection De-escalation Protocol (Acknowledge, Clarify, Validate, Reframe)</w:t>
      </w:r>
    </w:p>
    <w:p>
      <w:pPr>
        <w:pStyle w:val="ListBullet"/>
        <w:spacing w:after="40" w:line="276" w:lineRule="auto"/>
      </w:pPr>
      <w:r>
        <w:rPr>
          <w:rFonts w:ascii="Calibri" w:hAnsi="Calibri" w:eastAsia="Calibri"/>
          <w:b/>
          <w:i w:val="0"/>
          <w:color w:val="222222"/>
          <w:sz w:val="19"/>
        </w:rPr>
        <w:t>Core Value Proposition:</w:t>
      </w:r>
      <w:r>
        <w:rPr>
          <w:rFonts w:ascii="Calibri" w:hAnsi="Calibri" w:eastAsia="Calibri"/>
          <w:b w:val="0"/>
          <w:i w:val="0"/>
          <w:color w:val="222222"/>
          <w:sz w:val="19"/>
        </w:rPr>
        <w:t xml:space="preserve"> Empower every sales rep to turn difficult, hostile questions into persuasive winning arguments grounded in facts and verifiable evidence.</w:t>
      </w:r>
    </w:p>
    <w:p>
      <w:pPr>
        <w:pStyle w:val="ListBullet"/>
        <w:spacing w:after="40" w:line="276" w:lineRule="auto"/>
      </w:pPr>
      <w:r>
        <w:rPr>
          <w:rFonts w:ascii="Calibri" w:hAnsi="Calibri" w:eastAsia="Calibri"/>
          <w:b/>
          <w:i w:val="0"/>
          <w:color w:val="222222"/>
          <w:sz w:val="19"/>
        </w:rPr>
        <w:t>Required Inputs &amp; Exhibits:</w:t>
      </w:r>
      <w:r>
        <w:rPr>
          <w:rFonts w:ascii="Calibri" w:hAnsi="Calibri" w:eastAsia="Calibri"/>
          <w:b w:val="0"/>
          <w:i w:val="0"/>
          <w:color w:val="222222"/>
          <w:sz w:val="19"/>
        </w:rPr>
        <w:t xml:space="preserve"> Objection lookup matrix, quick reference flashcards.</w:t>
      </w:r>
    </w:p>
    <w:p>
      <w:pPr>
        <w:pStyle w:val="ListBullet"/>
        <w:spacing w:after="40" w:line="276" w:lineRule="auto"/>
      </w:pPr>
      <w:r>
        <w:rPr>
          <w:rFonts w:ascii="Calibri" w:hAnsi="Calibri" w:eastAsia="Calibri"/>
          <w:b/>
          <w:i w:val="0"/>
          <w:color w:val="222222"/>
          <w:sz w:val="19"/>
        </w:rPr>
        <w:t>Maintenance Owner:</w:t>
      </w:r>
      <w:r>
        <w:rPr>
          <w:rFonts w:ascii="Calibri" w:hAnsi="Calibri" w:eastAsia="Calibri"/>
          <w:b w:val="0"/>
          <w:i w:val="0"/>
          <w:color w:val="222222"/>
          <w:sz w:val="19"/>
        </w:rPr>
        <w:t xml:space="preserve"> Lead Solutions Architect &amp; Sales Trainer.</w:t>
      </w:r>
    </w:p>
    <w:p>
      <w:pPr>
        <w:keepNext/>
        <w:spacing w:before="160" w:after="40"/>
      </w:pPr>
      <w:r>
        <w:rPr>
          <w:rFonts w:ascii="Calibri" w:hAnsi="Calibri" w:eastAsia="Calibri"/>
          <w:b/>
          <w:i w:val="0"/>
          <w:color w:val="1E2660"/>
          <w:sz w:val="20"/>
        </w:rPr>
        <w:t>DOC-11: Competitive Battlecard: ULMS vs. Finastra Fusion Loan IQ</w:t>
      </w:r>
    </w:p>
    <w:p>
      <w:pPr>
        <w:pStyle w:val="ListBullet"/>
        <w:spacing w:after="40" w:line="276" w:lineRule="auto"/>
      </w:pPr>
      <w:r>
        <w:rPr>
          <w:rFonts w:ascii="Calibri" w:hAnsi="Calibri" w:eastAsia="Calibri"/>
          <w:b/>
          <w:i w:val="0"/>
          <w:color w:val="222222"/>
          <w:sz w:val="19"/>
        </w:rPr>
        <w:t>Target File Path:</w:t>
      </w:r>
      <w:r>
        <w:rPr>
          <w:rFonts w:ascii="Calibri" w:hAnsi="Calibri" w:eastAsia="Calibri"/>
          <w:b w:val="0"/>
          <w:i w:val="0"/>
          <w:color w:val="222222"/>
          <w:sz w:val="19"/>
        </w:rPr>
        <w:t xml:space="preserve"> </w:t>
      </w:r>
      <w:r>
        <w:rPr>
          <w:rFonts w:ascii="Consolas" w:hAnsi="Consolas" w:eastAsia="Consolas"/>
          <w:b w:val="0"/>
          <w:i w:val="0"/>
          <w:color w:val="8B0000"/>
          <w:sz w:val="18"/>
        </w:rPr>
        <w:t>business_document/02_sales_enablement/DOC-11_Battlecard_ULMS_vs_Finastra.md</w:t>
      </w:r>
    </w:p>
    <w:p>
      <w:pPr>
        <w:pStyle w:val="ListBullet"/>
        <w:spacing w:after="40" w:line="276" w:lineRule="auto"/>
      </w:pPr>
      <w:r>
        <w:rPr>
          <w:rFonts w:ascii="Calibri" w:hAnsi="Calibri" w:eastAsia="Calibri"/>
          <w:b/>
          <w:i w:val="0"/>
          <w:color w:val="222222"/>
          <w:sz w:val="19"/>
        </w:rPr>
        <w:t>Lifecycle Phase:</w:t>
      </w:r>
      <w:r>
        <w:rPr>
          <w:rFonts w:ascii="Calibri" w:hAnsi="Calibri" w:eastAsia="Calibri"/>
          <w:b w:val="0"/>
          <w:i w:val="0"/>
          <w:color w:val="222222"/>
          <w:sz w:val="19"/>
        </w:rPr>
        <w:t xml:space="preserve"> Competitive Head-to-Head Defense</w:t>
      </w:r>
    </w:p>
    <w:p>
      <w:pPr>
        <w:pStyle w:val="ListBullet"/>
        <w:spacing w:after="40" w:line="276" w:lineRule="auto"/>
      </w:pPr>
      <w:r>
        <w:rPr>
          <w:rFonts w:ascii="Calibri" w:hAnsi="Calibri" w:eastAsia="Calibri"/>
          <w:b/>
          <w:i w:val="0"/>
          <w:color w:val="222222"/>
          <w:sz w:val="19"/>
        </w:rPr>
        <w:t>Target Audience:</w:t>
      </w:r>
      <w:r>
        <w:rPr>
          <w:rFonts w:ascii="Calibri" w:hAnsi="Calibri" w:eastAsia="Calibri"/>
          <w:b w:val="0"/>
          <w:i w:val="0"/>
          <w:color w:val="222222"/>
          <w:sz w:val="19"/>
        </w:rPr>
        <w:t xml:space="preserve"> Sales Team, Pre-Sales Engineers, Bid Managers</w:t>
      </w:r>
    </w:p>
    <w:p>
      <w:pPr>
        <w:pStyle w:val="ListBullet"/>
        <w:spacing w:after="40" w:line="276" w:lineRule="auto"/>
      </w:pPr>
      <w:r>
        <w:rPr>
          <w:rFonts w:ascii="Calibri" w:hAnsi="Calibri" w:eastAsia="Calibri"/>
          <w:b/>
          <w:i w:val="0"/>
          <w:color w:val="222222"/>
          <w:sz w:val="19"/>
        </w:rPr>
        <w:t>Operational Purpose:</w:t>
      </w:r>
      <w:r>
        <w:rPr>
          <w:rFonts w:ascii="Calibri" w:hAnsi="Calibri" w:eastAsia="Calibri"/>
          <w:b w:val="0"/>
          <w:i w:val="0"/>
          <w:color w:val="222222"/>
          <w:sz w:val="19"/>
        </w:rPr>
        <w:t xml:space="preserve"> Detailed competitor teardown of Finastra Fusion Loan IQ, identifying strengths, vulnerabilities, pricing models, and winning strategies.</w:t>
      </w:r>
    </w:p>
    <w:p>
      <w:pPr>
        <w:pStyle w:val="ListBullet"/>
        <w:spacing w:after="40" w:line="276" w:lineRule="auto"/>
      </w:pPr>
      <w:r>
        <w:rPr>
          <w:rFonts w:ascii="Calibri" w:hAnsi="Calibri" w:eastAsia="Calibri"/>
          <w:b/>
          <w:i w:val="0"/>
          <w:color w:val="222222"/>
          <w:sz w:val="19"/>
        </w:rPr>
        <w:t>Detailed Table of Contents:</w:t>
      </w:r>
    </w:p>
    <w:p>
      <w:pPr>
        <w:spacing w:after="80" w:line="276" w:lineRule="auto"/>
      </w:pPr>
      <w:r>
        <w:rPr>
          <w:rFonts w:ascii="Calibri" w:hAnsi="Calibri" w:eastAsia="Calibri"/>
          <w:b w:val="0"/>
          <w:i w:val="0"/>
          <w:color w:val="222222"/>
          <w:sz w:val="19"/>
        </w:rPr>
        <w:t>1. Competitor Overview: Finastra Fusion Loan IQ Market Positioning and Footprint</w:t>
      </w:r>
    </w:p>
    <w:p>
      <w:pPr>
        <w:spacing w:after="80" w:line="276" w:lineRule="auto"/>
      </w:pPr>
      <w:r>
        <w:rPr>
          <w:rFonts w:ascii="Calibri" w:hAnsi="Calibri" w:eastAsia="Calibri"/>
          <w:b w:val="0"/>
          <w:i w:val="0"/>
          <w:color w:val="222222"/>
          <w:sz w:val="19"/>
        </w:rPr>
        <w:t>2. Competitor Strengths: Dominance in Complex Global Syndicated Lending, International Brand Recognition</w:t>
      </w:r>
    </w:p>
    <w:p>
      <w:pPr>
        <w:spacing w:after="80" w:line="276" w:lineRule="auto"/>
      </w:pPr>
      <w:r>
        <w:rPr>
          <w:rFonts w:ascii="Calibri" w:hAnsi="Calibri" w:eastAsia="Calibri"/>
          <w:b w:val="0"/>
          <w:i w:val="0"/>
          <w:color w:val="222222"/>
          <w:sz w:val="19"/>
        </w:rPr>
        <w:t>3. Competitor Critical Vulnerabilities:</w:t>
      </w:r>
    </w:p>
    <w:p>
      <w:pPr>
        <w:pStyle w:val="ListBullet"/>
        <w:spacing w:after="40" w:line="276" w:lineRule="auto"/>
        <w:ind w:left="680"/>
      </w:pPr>
      <w:r>
        <w:rPr>
          <w:rFonts w:ascii="Calibri" w:hAnsi="Calibri" w:eastAsia="Calibri"/>
          <w:b w:val="0"/>
          <w:i w:val="0"/>
          <w:color w:val="222222"/>
          <w:sz w:val="19"/>
        </w:rPr>
        <w:t>Astronomical Cost: $3M–$6M USD License + $1M Implementation + High Dollar Maintenance</w:t>
      </w:r>
    </w:p>
    <w:p>
      <w:pPr>
        <w:pStyle w:val="ListBullet"/>
        <w:spacing w:after="40" w:line="276" w:lineRule="auto"/>
        <w:ind w:left="680"/>
      </w:pPr>
      <w:r>
        <w:rPr>
          <w:rFonts w:ascii="Calibri" w:hAnsi="Calibri" w:eastAsia="Calibri"/>
          <w:b w:val="0"/>
          <w:i w:val="0"/>
          <w:color w:val="222222"/>
          <w:sz w:val="19"/>
        </w:rPr>
        <w:t>Over-Engineered for Bangladesh: Heavy syndicated focus, lacks localized retail/SME/Islamic features</w:t>
      </w:r>
    </w:p>
    <w:p>
      <w:pPr>
        <w:pStyle w:val="ListBullet"/>
        <w:spacing w:after="40" w:line="276" w:lineRule="auto"/>
        <w:ind w:left="680"/>
      </w:pPr>
      <w:r>
        <w:rPr>
          <w:rFonts w:ascii="Calibri" w:hAnsi="Calibri" w:eastAsia="Calibri"/>
          <w:b w:val="0"/>
          <w:i w:val="0"/>
          <w:color w:val="222222"/>
          <w:sz w:val="19"/>
        </w:rPr>
        <w:t>Zero Native Regulatory Integration: Requires custom middleware for CIB, NIDW, BRPD 15/2024</w:t>
      </w:r>
    </w:p>
    <w:p>
      <w:pPr>
        <w:pStyle w:val="ListBullet"/>
        <w:spacing w:after="40" w:line="276" w:lineRule="auto"/>
        <w:ind w:left="680"/>
      </w:pPr>
      <w:r>
        <w:rPr>
          <w:rFonts w:ascii="Calibri" w:hAnsi="Calibri" w:eastAsia="Calibri"/>
          <w:b w:val="0"/>
          <w:i w:val="0"/>
          <w:color w:val="222222"/>
          <w:sz w:val="19"/>
        </w:rPr>
        <w:t>Remote Offshore Support: Zero dedicated engineering team in Dhaka; exorbitant change-order fees</w:t>
      </w:r>
    </w:p>
    <w:p>
      <w:pPr>
        <w:spacing w:after="80" w:line="276" w:lineRule="auto"/>
      </w:pPr>
      <w:r>
        <w:rPr>
          <w:rFonts w:ascii="Calibri" w:hAnsi="Calibri" w:eastAsia="Calibri"/>
          <w:b w:val="0"/>
          <w:i w:val="0"/>
          <w:color w:val="222222"/>
          <w:sz w:val="19"/>
        </w:rPr>
        <w:t>4. ULMS Win Themes: 85% Lower TCO, Native BRPD/CIB/e-KYC out of the box, 12-week local rollout, Dhaka 24/7 team</w:t>
      </w:r>
    </w:p>
    <w:p>
      <w:pPr>
        <w:spacing w:after="80" w:line="276" w:lineRule="auto"/>
      </w:pPr>
      <w:r>
        <w:rPr>
          <w:rFonts w:ascii="Calibri" w:hAnsi="Calibri" w:eastAsia="Calibri"/>
          <w:b w:val="0"/>
          <w:i w:val="0"/>
          <w:color w:val="222222"/>
          <w:sz w:val="19"/>
        </w:rPr>
        <w:t>5. Trap-Setting Questions: Questions to feed the bank’s RFP committee that disqualify Finastra</w:t>
      </w:r>
    </w:p>
    <w:p>
      <w:pPr>
        <w:spacing w:after="80" w:line="276" w:lineRule="auto"/>
      </w:pPr>
      <w:r>
        <w:rPr>
          <w:rFonts w:ascii="Calibri" w:hAnsi="Calibri" w:eastAsia="Calibri"/>
          <w:b w:val="0"/>
          <w:i w:val="0"/>
          <w:color w:val="222222"/>
          <w:sz w:val="19"/>
        </w:rPr>
        <w:t>6. Side-by-Side Feature &amp; Cost Comparison Matrix</w:t>
      </w:r>
    </w:p>
    <w:p>
      <w:pPr>
        <w:pStyle w:val="ListBullet"/>
        <w:spacing w:after="40" w:line="276" w:lineRule="auto"/>
      </w:pPr>
      <w:r>
        <w:rPr>
          <w:rFonts w:ascii="Calibri" w:hAnsi="Calibri" w:eastAsia="Calibri"/>
          <w:b/>
          <w:i w:val="0"/>
          <w:color w:val="222222"/>
          <w:sz w:val="19"/>
        </w:rPr>
        <w:t>Core Value Proposition:</w:t>
      </w:r>
      <w:r>
        <w:rPr>
          <w:rFonts w:ascii="Calibri" w:hAnsi="Calibri" w:eastAsia="Calibri"/>
          <w:b w:val="0"/>
          <w:i w:val="0"/>
          <w:color w:val="222222"/>
          <w:sz w:val="19"/>
        </w:rPr>
        <w:t xml:space="preserve"> Decisively position Finastra as an overpriced, ill-fitting foreign monolith that drains foreign exchange reserves without solving local regulatory needs.</w:t>
      </w:r>
    </w:p>
    <w:p>
      <w:pPr>
        <w:pStyle w:val="ListBullet"/>
        <w:spacing w:after="40" w:line="276" w:lineRule="auto"/>
      </w:pPr>
      <w:r>
        <w:rPr>
          <w:rFonts w:ascii="Calibri" w:hAnsi="Calibri" w:eastAsia="Calibri"/>
          <w:b/>
          <w:i w:val="0"/>
          <w:color w:val="222222"/>
          <w:sz w:val="19"/>
        </w:rPr>
        <w:t>Required Inputs &amp; Exhibits:</w:t>
      </w:r>
      <w:r>
        <w:rPr>
          <w:rFonts w:ascii="Calibri" w:hAnsi="Calibri" w:eastAsia="Calibri"/>
          <w:b w:val="0"/>
          <w:i w:val="0"/>
          <w:color w:val="222222"/>
          <w:sz w:val="19"/>
        </w:rPr>
        <w:t xml:space="preserve"> Detailed feature comparison table, cost-of-ownership differential chart.</w:t>
      </w:r>
    </w:p>
    <w:p>
      <w:pPr>
        <w:pStyle w:val="ListBullet"/>
        <w:spacing w:after="40" w:line="276" w:lineRule="auto"/>
      </w:pPr>
      <w:r>
        <w:rPr>
          <w:rFonts w:ascii="Calibri" w:hAnsi="Calibri" w:eastAsia="Calibri"/>
          <w:b/>
          <w:i w:val="0"/>
          <w:color w:val="222222"/>
          <w:sz w:val="19"/>
        </w:rPr>
        <w:t>Maintenance Owner:</w:t>
      </w:r>
      <w:r>
        <w:rPr>
          <w:rFonts w:ascii="Calibri" w:hAnsi="Calibri" w:eastAsia="Calibri"/>
          <w:b w:val="0"/>
          <w:i w:val="0"/>
          <w:color w:val="222222"/>
          <w:sz w:val="19"/>
        </w:rPr>
        <w:t xml:space="preserve"> Competitive Intelligence Lead.</w:t>
      </w:r>
    </w:p>
    <w:p>
      <w:pPr>
        <w:keepNext/>
        <w:spacing w:before="160" w:after="40"/>
      </w:pPr>
      <w:r>
        <w:rPr>
          <w:rFonts w:ascii="Calibri" w:hAnsi="Calibri" w:eastAsia="Calibri"/>
          <w:b/>
          <w:i w:val="0"/>
          <w:color w:val="1E2660"/>
          <w:sz w:val="20"/>
        </w:rPr>
        <w:t>DOC-12: Competitive Battlecard: ULMS vs. Temenos LMS / Transact</w:t>
      </w:r>
    </w:p>
    <w:p>
      <w:pPr>
        <w:pStyle w:val="ListBullet"/>
        <w:spacing w:after="40" w:line="276" w:lineRule="auto"/>
      </w:pPr>
      <w:r>
        <w:rPr>
          <w:rFonts w:ascii="Calibri" w:hAnsi="Calibri" w:eastAsia="Calibri"/>
          <w:b/>
          <w:i w:val="0"/>
          <w:color w:val="222222"/>
          <w:sz w:val="19"/>
        </w:rPr>
        <w:t>Target File Path:</w:t>
      </w:r>
      <w:r>
        <w:rPr>
          <w:rFonts w:ascii="Calibri" w:hAnsi="Calibri" w:eastAsia="Calibri"/>
          <w:b w:val="0"/>
          <w:i w:val="0"/>
          <w:color w:val="222222"/>
          <w:sz w:val="19"/>
        </w:rPr>
        <w:t xml:space="preserve"> </w:t>
      </w:r>
      <w:r>
        <w:rPr>
          <w:rFonts w:ascii="Consolas" w:hAnsi="Consolas" w:eastAsia="Consolas"/>
          <w:b w:val="0"/>
          <w:i w:val="0"/>
          <w:color w:val="8B0000"/>
          <w:sz w:val="18"/>
        </w:rPr>
        <w:t>business_document/02_sales_enablement/DOC-12_Battlecard_ULMS_vs_Temenos.md</w:t>
      </w:r>
    </w:p>
    <w:p>
      <w:pPr>
        <w:pStyle w:val="ListBullet"/>
        <w:spacing w:after="40" w:line="276" w:lineRule="auto"/>
      </w:pPr>
      <w:r>
        <w:rPr>
          <w:rFonts w:ascii="Calibri" w:hAnsi="Calibri" w:eastAsia="Calibri"/>
          <w:b/>
          <w:i w:val="0"/>
          <w:color w:val="222222"/>
          <w:sz w:val="19"/>
        </w:rPr>
        <w:t>Lifecycle Phase:</w:t>
      </w:r>
      <w:r>
        <w:rPr>
          <w:rFonts w:ascii="Calibri" w:hAnsi="Calibri" w:eastAsia="Calibri"/>
          <w:b w:val="0"/>
          <w:i w:val="0"/>
          <w:color w:val="222222"/>
          <w:sz w:val="19"/>
        </w:rPr>
        <w:t xml:space="preserve"> Competitive Head-to-Head Defense</w:t>
      </w:r>
    </w:p>
    <w:p>
      <w:pPr>
        <w:pStyle w:val="ListBullet"/>
        <w:spacing w:after="40" w:line="276" w:lineRule="auto"/>
      </w:pPr>
      <w:r>
        <w:rPr>
          <w:rFonts w:ascii="Calibri" w:hAnsi="Calibri" w:eastAsia="Calibri"/>
          <w:b/>
          <w:i w:val="0"/>
          <w:color w:val="222222"/>
          <w:sz w:val="19"/>
        </w:rPr>
        <w:t>Target Audience:</w:t>
      </w:r>
      <w:r>
        <w:rPr>
          <w:rFonts w:ascii="Calibri" w:hAnsi="Calibri" w:eastAsia="Calibri"/>
          <w:b w:val="0"/>
          <w:i w:val="0"/>
          <w:color w:val="222222"/>
          <w:sz w:val="19"/>
        </w:rPr>
        <w:t xml:space="preserve"> Sales Team, Pre-Sales Engineers, Bid Managers</w:t>
      </w:r>
    </w:p>
    <w:p>
      <w:pPr>
        <w:pStyle w:val="ListBullet"/>
        <w:spacing w:after="40" w:line="276" w:lineRule="auto"/>
      </w:pPr>
      <w:r>
        <w:rPr>
          <w:rFonts w:ascii="Calibri" w:hAnsi="Calibri" w:eastAsia="Calibri"/>
          <w:b/>
          <w:i w:val="0"/>
          <w:color w:val="222222"/>
          <w:sz w:val="19"/>
        </w:rPr>
        <w:t>Operational Purpose:</w:t>
      </w:r>
      <w:r>
        <w:rPr>
          <w:rFonts w:ascii="Calibri" w:hAnsi="Calibri" w:eastAsia="Calibri"/>
          <w:b w:val="0"/>
          <w:i w:val="0"/>
          <w:color w:val="222222"/>
          <w:sz w:val="19"/>
        </w:rPr>
        <w:t xml:space="preserve"> Detailed competitor teardown of Temenos Lending / Transact, analyzing core banking coupling, implementation overheads, and local market gaps.</w:t>
      </w:r>
    </w:p>
    <w:p>
      <w:pPr>
        <w:pStyle w:val="ListBullet"/>
        <w:spacing w:after="40" w:line="276" w:lineRule="auto"/>
      </w:pPr>
      <w:r>
        <w:rPr>
          <w:rFonts w:ascii="Calibri" w:hAnsi="Calibri" w:eastAsia="Calibri"/>
          <w:b/>
          <w:i w:val="0"/>
          <w:color w:val="222222"/>
          <w:sz w:val="19"/>
        </w:rPr>
        <w:t>Detailed Table of Contents:</w:t>
      </w:r>
    </w:p>
    <w:p>
      <w:pPr>
        <w:spacing w:after="80" w:line="276" w:lineRule="auto"/>
      </w:pPr>
      <w:r>
        <w:rPr>
          <w:rFonts w:ascii="Calibri" w:hAnsi="Calibri" w:eastAsia="Calibri"/>
          <w:b w:val="0"/>
          <w:i w:val="0"/>
          <w:color w:val="222222"/>
          <w:sz w:val="19"/>
        </w:rPr>
        <w:t>1. Competitor Overview: Temenos Transact / LMS Footprint in Bangladesh</w:t>
      </w:r>
    </w:p>
    <w:p>
      <w:pPr>
        <w:spacing w:after="80" w:line="276" w:lineRule="auto"/>
      </w:pPr>
      <w:r>
        <w:rPr>
          <w:rFonts w:ascii="Calibri" w:hAnsi="Calibri" w:eastAsia="Calibri"/>
          <w:b w:val="0"/>
          <w:i w:val="0"/>
          <w:color w:val="222222"/>
          <w:sz w:val="19"/>
        </w:rPr>
        <w:t>2. Competitor Strengths: Strong presence among Tier-1 banks, comprehensive banking suite, global R&amp;D</w:t>
      </w:r>
    </w:p>
    <w:p>
      <w:pPr>
        <w:spacing w:after="80" w:line="276" w:lineRule="auto"/>
      </w:pPr>
      <w:r>
        <w:rPr>
          <w:rFonts w:ascii="Calibri" w:hAnsi="Calibri" w:eastAsia="Calibri"/>
          <w:b w:val="0"/>
          <w:i w:val="0"/>
          <w:color w:val="222222"/>
          <w:sz w:val="19"/>
        </w:rPr>
        <w:t>3. Competitor Critical Vulnerabilities:</w:t>
      </w:r>
    </w:p>
    <w:p>
      <w:pPr>
        <w:pStyle w:val="ListBullet"/>
        <w:spacing w:after="40" w:line="276" w:lineRule="auto"/>
        <w:ind w:left="680"/>
      </w:pPr>
      <w:r>
        <w:rPr>
          <w:rFonts w:ascii="Calibri" w:hAnsi="Calibri" w:eastAsia="Calibri"/>
          <w:b w:val="0"/>
          <w:i w:val="0"/>
          <w:color w:val="222222"/>
          <w:sz w:val="19"/>
        </w:rPr>
        <w:t>Tight CBS Coupling: Difficult to deploy as a standalone LMS without buying the broader Temenos stack</w:t>
      </w:r>
    </w:p>
    <w:p>
      <w:pPr>
        <w:pStyle w:val="ListBullet"/>
        <w:spacing w:after="40" w:line="276" w:lineRule="auto"/>
        <w:ind w:left="680"/>
      </w:pPr>
      <w:r>
        <w:rPr>
          <w:rFonts w:ascii="Calibri" w:hAnsi="Calibri" w:eastAsia="Calibri"/>
          <w:b w:val="0"/>
          <w:i w:val="0"/>
          <w:color w:val="222222"/>
          <w:sz w:val="19"/>
        </w:rPr>
        <w:t>Proprietary Technology Stack: High vendor lock-in, expensive external consultants (TAFJ/T24 experts)</w:t>
      </w:r>
    </w:p>
    <w:p>
      <w:pPr>
        <w:pStyle w:val="ListBullet"/>
        <w:spacing w:after="40" w:line="276" w:lineRule="auto"/>
        <w:ind w:left="680"/>
      </w:pPr>
      <w:r>
        <w:rPr>
          <w:rFonts w:ascii="Calibri" w:hAnsi="Calibri" w:eastAsia="Calibri"/>
          <w:b w:val="0"/>
          <w:i w:val="0"/>
          <w:color w:val="222222"/>
          <w:sz w:val="19"/>
        </w:rPr>
        <w:t>Regulatory Lag: Slow adaptation to sudden Bangladesh Bank circular changes</w:t>
      </w:r>
    </w:p>
    <w:p>
      <w:pPr>
        <w:pStyle w:val="ListBullet"/>
        <w:spacing w:after="40" w:line="276" w:lineRule="auto"/>
        <w:ind w:left="680"/>
      </w:pPr>
      <w:r>
        <w:rPr>
          <w:rFonts w:ascii="Calibri" w:hAnsi="Calibri" w:eastAsia="Calibri"/>
          <w:b w:val="0"/>
          <w:i w:val="0"/>
          <w:color w:val="222222"/>
          <w:sz w:val="19"/>
        </w:rPr>
        <w:t>Severe Implementation Delays: Historical implementation timelines in Bangladesh exceed 18–24 months</w:t>
      </w:r>
    </w:p>
    <w:p>
      <w:pPr>
        <w:spacing w:after="80" w:line="276" w:lineRule="auto"/>
      </w:pPr>
      <w:r>
        <w:rPr>
          <w:rFonts w:ascii="Calibri" w:hAnsi="Calibri" w:eastAsia="Calibri"/>
          <w:b w:val="0"/>
          <w:i w:val="0"/>
          <w:color w:val="222222"/>
          <w:sz w:val="19"/>
        </w:rPr>
        <w:t>4. ULMS Win Themes: Non-disruptive modular monolith, CBS-agnostic architecture, native Shariah engine, local agility</w:t>
      </w:r>
    </w:p>
    <w:p>
      <w:pPr>
        <w:spacing w:after="80" w:line="276" w:lineRule="auto"/>
      </w:pPr>
      <w:r>
        <w:rPr>
          <w:rFonts w:ascii="Calibri" w:hAnsi="Calibri" w:eastAsia="Calibri"/>
          <w:b w:val="0"/>
          <w:i w:val="0"/>
          <w:color w:val="222222"/>
          <w:sz w:val="19"/>
        </w:rPr>
        <w:t>5. Trap-Setting Questions for RFP Committees</w:t>
      </w:r>
    </w:p>
    <w:p>
      <w:pPr>
        <w:spacing w:after="80" w:line="276" w:lineRule="auto"/>
      </w:pPr>
      <w:r>
        <w:rPr>
          <w:rFonts w:ascii="Calibri" w:hAnsi="Calibri" w:eastAsia="Calibri"/>
          <w:b w:val="0"/>
          <w:i w:val="0"/>
          <w:color w:val="222222"/>
          <w:sz w:val="19"/>
        </w:rPr>
        <w:t>6. Side-by-Side Functional Comparison Table</w:t>
      </w:r>
    </w:p>
    <w:p>
      <w:pPr>
        <w:pStyle w:val="ListBullet"/>
        <w:spacing w:after="40" w:line="276" w:lineRule="auto"/>
      </w:pPr>
      <w:r>
        <w:rPr>
          <w:rFonts w:ascii="Calibri" w:hAnsi="Calibri" w:eastAsia="Calibri"/>
          <w:b/>
          <w:i w:val="0"/>
          <w:color w:val="222222"/>
          <w:sz w:val="19"/>
        </w:rPr>
        <w:t>Core Value Proposition:</w:t>
      </w:r>
      <w:r>
        <w:rPr>
          <w:rFonts w:ascii="Calibri" w:hAnsi="Calibri" w:eastAsia="Calibri"/>
          <w:b w:val="0"/>
          <w:i w:val="0"/>
          <w:color w:val="222222"/>
          <w:sz w:val="19"/>
        </w:rPr>
        <w:t xml:space="preserve"> Show banks running Temenos Core Banking that adding ULMS provides a 10x faster, cheaper, and superior digital lending frontend than Temenos’s own rigid lending module.</w:t>
      </w:r>
    </w:p>
    <w:p>
      <w:pPr>
        <w:pStyle w:val="ListBullet"/>
        <w:spacing w:after="40" w:line="276" w:lineRule="auto"/>
      </w:pPr>
      <w:r>
        <w:rPr>
          <w:rFonts w:ascii="Calibri" w:hAnsi="Calibri" w:eastAsia="Calibri"/>
          <w:b/>
          <w:i w:val="0"/>
          <w:color w:val="222222"/>
          <w:sz w:val="19"/>
        </w:rPr>
        <w:t>Required Inputs &amp; Exhibits:</w:t>
      </w:r>
      <w:r>
        <w:rPr>
          <w:rFonts w:ascii="Calibri" w:hAnsi="Calibri" w:eastAsia="Calibri"/>
          <w:b w:val="0"/>
          <w:i w:val="0"/>
          <w:color w:val="222222"/>
          <w:sz w:val="19"/>
        </w:rPr>
        <w:t xml:space="preserve"> Architecture comparison diagram, consulting cost comparison.</w:t>
      </w:r>
    </w:p>
    <w:p>
      <w:pPr>
        <w:pStyle w:val="ListBullet"/>
        <w:spacing w:after="40" w:line="276" w:lineRule="auto"/>
      </w:pPr>
      <w:r>
        <w:rPr>
          <w:rFonts w:ascii="Calibri" w:hAnsi="Calibri" w:eastAsia="Calibri"/>
          <w:b/>
          <w:i w:val="0"/>
          <w:color w:val="222222"/>
          <w:sz w:val="19"/>
        </w:rPr>
        <w:t>Maintenance Owner:</w:t>
      </w:r>
      <w:r>
        <w:rPr>
          <w:rFonts w:ascii="Calibri" w:hAnsi="Calibri" w:eastAsia="Calibri"/>
          <w:b w:val="0"/>
          <w:i w:val="0"/>
          <w:color w:val="222222"/>
          <w:sz w:val="19"/>
        </w:rPr>
        <w:t xml:space="preserve"> Competitive Intelligence Lead.</w:t>
      </w:r>
    </w:p>
    <w:p>
      <w:pPr>
        <w:keepNext/>
        <w:spacing w:before="160" w:after="40"/>
      </w:pPr>
      <w:r>
        <w:rPr>
          <w:rFonts w:ascii="Calibri" w:hAnsi="Calibri" w:eastAsia="Calibri"/>
          <w:b/>
          <w:i w:val="0"/>
          <w:color w:val="1E2660"/>
          <w:sz w:val="20"/>
        </w:rPr>
        <w:t>DOC-13: Competitive Battlecard: ULMS vs. Nucleus Software FinnOne Neo</w:t>
      </w:r>
    </w:p>
    <w:p>
      <w:pPr>
        <w:pStyle w:val="ListBullet"/>
        <w:spacing w:after="40" w:line="276" w:lineRule="auto"/>
      </w:pPr>
      <w:r>
        <w:rPr>
          <w:rFonts w:ascii="Calibri" w:hAnsi="Calibri" w:eastAsia="Calibri"/>
          <w:b/>
          <w:i w:val="0"/>
          <w:color w:val="222222"/>
          <w:sz w:val="19"/>
        </w:rPr>
        <w:t>Target File Path:</w:t>
      </w:r>
      <w:r>
        <w:rPr>
          <w:rFonts w:ascii="Calibri" w:hAnsi="Calibri" w:eastAsia="Calibri"/>
          <w:b w:val="0"/>
          <w:i w:val="0"/>
          <w:color w:val="222222"/>
          <w:sz w:val="19"/>
        </w:rPr>
        <w:t xml:space="preserve"> </w:t>
      </w:r>
      <w:r>
        <w:rPr>
          <w:rFonts w:ascii="Consolas" w:hAnsi="Consolas" w:eastAsia="Consolas"/>
          <w:b w:val="0"/>
          <w:i w:val="0"/>
          <w:color w:val="8B0000"/>
          <w:sz w:val="18"/>
        </w:rPr>
        <w:t>business_document/02_sales_enablement/DOC-13_Battlecard_ULMS_vs_FinnOne.md</w:t>
      </w:r>
    </w:p>
    <w:p>
      <w:pPr>
        <w:pStyle w:val="ListBullet"/>
        <w:spacing w:after="40" w:line="276" w:lineRule="auto"/>
      </w:pPr>
      <w:r>
        <w:rPr>
          <w:rFonts w:ascii="Calibri" w:hAnsi="Calibri" w:eastAsia="Calibri"/>
          <w:b/>
          <w:i w:val="0"/>
          <w:color w:val="222222"/>
          <w:sz w:val="19"/>
        </w:rPr>
        <w:t>Lifecycle Phase:</w:t>
      </w:r>
      <w:r>
        <w:rPr>
          <w:rFonts w:ascii="Calibri" w:hAnsi="Calibri" w:eastAsia="Calibri"/>
          <w:b w:val="0"/>
          <w:i w:val="0"/>
          <w:color w:val="222222"/>
          <w:sz w:val="19"/>
        </w:rPr>
        <w:t xml:space="preserve"> Competitive Head-to-Head Defense</w:t>
      </w:r>
    </w:p>
    <w:p>
      <w:pPr>
        <w:pStyle w:val="ListBullet"/>
        <w:spacing w:after="40" w:line="276" w:lineRule="auto"/>
      </w:pPr>
      <w:r>
        <w:rPr>
          <w:rFonts w:ascii="Calibri" w:hAnsi="Calibri" w:eastAsia="Calibri"/>
          <w:b/>
          <w:i w:val="0"/>
          <w:color w:val="222222"/>
          <w:sz w:val="19"/>
        </w:rPr>
        <w:t>Target Audience:</w:t>
      </w:r>
      <w:r>
        <w:rPr>
          <w:rFonts w:ascii="Calibri" w:hAnsi="Calibri" w:eastAsia="Calibri"/>
          <w:b w:val="0"/>
          <w:i w:val="0"/>
          <w:color w:val="222222"/>
          <w:sz w:val="19"/>
        </w:rPr>
        <w:t xml:space="preserve"> Sales Team, Pre-Sales Engineers, Bid Managers</w:t>
      </w:r>
    </w:p>
    <w:p>
      <w:pPr>
        <w:pStyle w:val="ListBullet"/>
        <w:spacing w:after="40" w:line="276" w:lineRule="auto"/>
      </w:pPr>
      <w:r>
        <w:rPr>
          <w:rFonts w:ascii="Calibri" w:hAnsi="Calibri" w:eastAsia="Calibri"/>
          <w:b/>
          <w:i w:val="0"/>
          <w:color w:val="222222"/>
          <w:sz w:val="19"/>
        </w:rPr>
        <w:t>Operational Purpose:</w:t>
      </w:r>
      <w:r>
        <w:rPr>
          <w:rFonts w:ascii="Calibri" w:hAnsi="Calibri" w:eastAsia="Calibri"/>
          <w:b w:val="0"/>
          <w:i w:val="0"/>
          <w:color w:val="222222"/>
          <w:sz w:val="19"/>
        </w:rPr>
        <w:t xml:space="preserve"> Detailed competitor teardown of Nucleus Software FinnOne Neo (India), analyzing regional South Asian market positioning, strengths, and local vulnerabilities.</w:t>
      </w:r>
    </w:p>
    <w:p>
      <w:pPr>
        <w:pStyle w:val="ListBullet"/>
        <w:spacing w:after="40" w:line="276" w:lineRule="auto"/>
      </w:pPr>
      <w:r>
        <w:rPr>
          <w:rFonts w:ascii="Calibri" w:hAnsi="Calibri" w:eastAsia="Calibri"/>
          <w:b/>
          <w:i w:val="0"/>
          <w:color w:val="222222"/>
          <w:sz w:val="19"/>
        </w:rPr>
        <w:t>Detailed Table of Contents:</w:t>
      </w:r>
    </w:p>
    <w:p>
      <w:pPr>
        <w:spacing w:after="80" w:line="276" w:lineRule="auto"/>
      </w:pPr>
      <w:r>
        <w:rPr>
          <w:rFonts w:ascii="Calibri" w:hAnsi="Calibri" w:eastAsia="Calibri"/>
          <w:b w:val="0"/>
          <w:i w:val="0"/>
          <w:color w:val="222222"/>
          <w:sz w:val="19"/>
        </w:rPr>
        <w:t>1. Competitor Overview: Nucleus Software FinnOne Neo in South Asia</w:t>
      </w:r>
    </w:p>
    <w:p>
      <w:pPr>
        <w:spacing w:after="80" w:line="276" w:lineRule="auto"/>
      </w:pPr>
      <w:r>
        <w:rPr>
          <w:rFonts w:ascii="Calibri" w:hAnsi="Calibri" w:eastAsia="Calibri"/>
          <w:b w:val="0"/>
          <w:i w:val="0"/>
          <w:color w:val="222222"/>
          <w:sz w:val="19"/>
        </w:rPr>
        <w:t>2. Competitor Strengths: Deep retail lending experience, proven track record in Indian NBFCs and banks</w:t>
      </w:r>
    </w:p>
    <w:p>
      <w:pPr>
        <w:spacing w:after="80" w:line="276" w:lineRule="auto"/>
      </w:pPr>
      <w:r>
        <w:rPr>
          <w:rFonts w:ascii="Calibri" w:hAnsi="Calibri" w:eastAsia="Calibri"/>
          <w:b w:val="0"/>
          <w:i w:val="0"/>
          <w:color w:val="222222"/>
          <w:sz w:val="19"/>
        </w:rPr>
        <w:t>3. Competitor Critical Vulnerabilities:</w:t>
      </w:r>
    </w:p>
    <w:p>
      <w:pPr>
        <w:pStyle w:val="ListBullet"/>
        <w:spacing w:after="40" w:line="276" w:lineRule="auto"/>
        <w:ind w:left="680"/>
      </w:pPr>
      <w:r>
        <w:rPr>
          <w:rFonts w:ascii="Calibri" w:hAnsi="Calibri" w:eastAsia="Calibri"/>
          <w:b w:val="0"/>
          <w:i w:val="0"/>
          <w:color w:val="222222"/>
          <w:sz w:val="19"/>
        </w:rPr>
        <w:t>Cross-Border Dependency: Reliance on Indian development teams; geopolitical and cross-border payment frictions</w:t>
      </w:r>
    </w:p>
    <w:p>
      <w:pPr>
        <w:pStyle w:val="ListBullet"/>
        <w:spacing w:after="40" w:line="276" w:lineRule="auto"/>
        <w:ind w:left="680"/>
      </w:pPr>
      <w:r>
        <w:rPr>
          <w:rFonts w:ascii="Calibri" w:hAnsi="Calibri" w:eastAsia="Calibri"/>
          <w:b w:val="0"/>
          <w:i w:val="0"/>
          <w:color w:val="222222"/>
          <w:sz w:val="19"/>
        </w:rPr>
        <w:t>Incomplete Bangladesh Regulatory Adaptation: CIB and BRPD rules retrofitted via costly custom scripting</w:t>
      </w:r>
    </w:p>
    <w:p>
      <w:pPr>
        <w:pStyle w:val="ListBullet"/>
        <w:spacing w:after="40" w:line="276" w:lineRule="auto"/>
        <w:ind w:left="680"/>
      </w:pPr>
      <w:r>
        <w:rPr>
          <w:rFonts w:ascii="Calibri" w:hAnsi="Calibri" w:eastAsia="Calibri"/>
          <w:b w:val="0"/>
          <w:i w:val="0"/>
          <w:color w:val="222222"/>
          <w:sz w:val="19"/>
        </w:rPr>
        <w:t>Higher TCO: USD-denominated pricing and recurring offshore AMC bills</w:t>
      </w:r>
    </w:p>
    <w:p>
      <w:pPr>
        <w:pStyle w:val="ListBullet"/>
        <w:spacing w:after="40" w:line="276" w:lineRule="auto"/>
        <w:ind w:left="680"/>
      </w:pPr>
      <w:r>
        <w:rPr>
          <w:rFonts w:ascii="Calibri" w:hAnsi="Calibri" w:eastAsia="Calibri"/>
          <w:b w:val="0"/>
          <w:i w:val="0"/>
          <w:color w:val="222222"/>
          <w:sz w:val="19"/>
        </w:rPr>
        <w:t>Slow On-Site Response: Lack of full-time local engineering presence in Dhaka</w:t>
      </w:r>
    </w:p>
    <w:p>
      <w:pPr>
        <w:spacing w:after="80" w:line="276" w:lineRule="auto"/>
      </w:pPr>
      <w:r>
        <w:rPr>
          <w:rFonts w:ascii="Calibri" w:hAnsi="Calibri" w:eastAsia="Calibri"/>
          <w:b w:val="0"/>
          <w:i w:val="0"/>
          <w:color w:val="222222"/>
          <w:sz w:val="19"/>
        </w:rPr>
        <w:t>4. ULMS Win Themes: 100% Sovereign Bangladesh-owned software, zero cross-border tax withholding, on-demand physical team in Dhaka</w:t>
      </w:r>
    </w:p>
    <w:p>
      <w:pPr>
        <w:spacing w:after="80" w:line="276" w:lineRule="auto"/>
      </w:pPr>
      <w:r>
        <w:rPr>
          <w:rFonts w:ascii="Calibri" w:hAnsi="Calibri" w:eastAsia="Calibri"/>
          <w:b w:val="0"/>
          <w:i w:val="0"/>
          <w:color w:val="222222"/>
          <w:sz w:val="19"/>
        </w:rPr>
        <w:t>5. Trap-Setting Questions for Procurement Committees</w:t>
      </w:r>
    </w:p>
    <w:p>
      <w:pPr>
        <w:spacing w:after="80" w:line="276" w:lineRule="auto"/>
      </w:pPr>
      <w:r>
        <w:rPr>
          <w:rFonts w:ascii="Calibri" w:hAnsi="Calibri" w:eastAsia="Calibri"/>
          <w:b w:val="0"/>
          <w:i w:val="0"/>
          <w:color w:val="222222"/>
          <w:sz w:val="19"/>
        </w:rPr>
        <w:t>6. Functional and Technical Head-to-Head Matrix</w:t>
      </w:r>
    </w:p>
    <w:p>
      <w:pPr>
        <w:pStyle w:val="ListBullet"/>
        <w:spacing w:after="40" w:line="276" w:lineRule="auto"/>
      </w:pPr>
      <w:r>
        <w:rPr>
          <w:rFonts w:ascii="Calibri" w:hAnsi="Calibri" w:eastAsia="Calibri"/>
          <w:b/>
          <w:i w:val="0"/>
          <w:color w:val="222222"/>
          <w:sz w:val="19"/>
        </w:rPr>
        <w:t>Core Value Proposition:</w:t>
      </w:r>
      <w:r>
        <w:rPr>
          <w:rFonts w:ascii="Calibri" w:hAnsi="Calibri" w:eastAsia="Calibri"/>
          <w:b w:val="0"/>
          <w:i w:val="0"/>
          <w:color w:val="222222"/>
          <w:sz w:val="19"/>
        </w:rPr>
        <w:t xml:space="preserve"> Neutralize FinnOne Neo by highlighting the security, sovereignty, tax advantages, and immediate physical responsiveness of Unisoft’s local team.</w:t>
      </w:r>
    </w:p>
    <w:p>
      <w:pPr>
        <w:pStyle w:val="ListBullet"/>
        <w:spacing w:after="40" w:line="276" w:lineRule="auto"/>
      </w:pPr>
      <w:r>
        <w:rPr>
          <w:rFonts w:ascii="Calibri" w:hAnsi="Calibri" w:eastAsia="Calibri"/>
          <w:b/>
          <w:i w:val="0"/>
          <w:color w:val="222222"/>
          <w:sz w:val="19"/>
        </w:rPr>
        <w:t>Required Inputs &amp; Exhibits:</w:t>
      </w:r>
      <w:r>
        <w:rPr>
          <w:rFonts w:ascii="Calibri" w:hAnsi="Calibri" w:eastAsia="Calibri"/>
          <w:b w:val="0"/>
          <w:i w:val="0"/>
          <w:color w:val="222222"/>
          <w:sz w:val="19"/>
        </w:rPr>
        <w:t xml:space="preserve"> Statutory tax impact comparison (cross-border software withholding tax), feature comparison.</w:t>
      </w:r>
    </w:p>
    <w:p>
      <w:pPr>
        <w:pStyle w:val="ListBullet"/>
        <w:spacing w:after="40" w:line="276" w:lineRule="auto"/>
      </w:pPr>
      <w:r>
        <w:rPr>
          <w:rFonts w:ascii="Calibri" w:hAnsi="Calibri" w:eastAsia="Calibri"/>
          <w:b/>
          <w:i w:val="0"/>
          <w:color w:val="222222"/>
          <w:sz w:val="19"/>
        </w:rPr>
        <w:t>Maintenance Owner:</w:t>
      </w:r>
      <w:r>
        <w:rPr>
          <w:rFonts w:ascii="Calibri" w:hAnsi="Calibri" w:eastAsia="Calibri"/>
          <w:b w:val="0"/>
          <w:i w:val="0"/>
          <w:color w:val="222222"/>
          <w:sz w:val="19"/>
        </w:rPr>
        <w:t xml:space="preserve"> Competitive Intelligence Lead.</w:t>
      </w:r>
    </w:p>
    <w:p>
      <w:pPr>
        <w:keepNext/>
        <w:spacing w:before="160" w:after="40"/>
      </w:pPr>
      <w:r>
        <w:rPr>
          <w:rFonts w:ascii="Calibri" w:hAnsi="Calibri" w:eastAsia="Calibri"/>
          <w:b/>
          <w:i w:val="0"/>
          <w:color w:val="1E2660"/>
          <w:sz w:val="20"/>
        </w:rPr>
        <w:t>DOC-14: Competitive Battlecard: ULMS vs. Infosys Finacle Lending</w:t>
      </w:r>
    </w:p>
    <w:p>
      <w:pPr>
        <w:pStyle w:val="ListBullet"/>
        <w:spacing w:after="40" w:line="276" w:lineRule="auto"/>
      </w:pPr>
      <w:r>
        <w:rPr>
          <w:rFonts w:ascii="Calibri" w:hAnsi="Calibri" w:eastAsia="Calibri"/>
          <w:b/>
          <w:i w:val="0"/>
          <w:color w:val="222222"/>
          <w:sz w:val="19"/>
        </w:rPr>
        <w:t>Target File Path:</w:t>
      </w:r>
      <w:r>
        <w:rPr>
          <w:rFonts w:ascii="Calibri" w:hAnsi="Calibri" w:eastAsia="Calibri"/>
          <w:b w:val="0"/>
          <w:i w:val="0"/>
          <w:color w:val="222222"/>
          <w:sz w:val="19"/>
        </w:rPr>
        <w:t xml:space="preserve"> </w:t>
      </w:r>
      <w:r>
        <w:rPr>
          <w:rFonts w:ascii="Consolas" w:hAnsi="Consolas" w:eastAsia="Consolas"/>
          <w:b w:val="0"/>
          <w:i w:val="0"/>
          <w:color w:val="8B0000"/>
          <w:sz w:val="18"/>
        </w:rPr>
        <w:t>business_document/02_sales_enablement/DOC-14_Battlecard_ULMS_vs_Finacle.md</w:t>
      </w:r>
    </w:p>
    <w:p>
      <w:pPr>
        <w:pStyle w:val="ListBullet"/>
        <w:spacing w:after="40" w:line="276" w:lineRule="auto"/>
      </w:pPr>
      <w:r>
        <w:rPr>
          <w:rFonts w:ascii="Calibri" w:hAnsi="Calibri" w:eastAsia="Calibri"/>
          <w:b/>
          <w:i w:val="0"/>
          <w:color w:val="222222"/>
          <w:sz w:val="19"/>
        </w:rPr>
        <w:t>Lifecycle Phase:</w:t>
      </w:r>
      <w:r>
        <w:rPr>
          <w:rFonts w:ascii="Calibri" w:hAnsi="Calibri" w:eastAsia="Calibri"/>
          <w:b w:val="0"/>
          <w:i w:val="0"/>
          <w:color w:val="222222"/>
          <w:sz w:val="19"/>
        </w:rPr>
        <w:t xml:space="preserve"> Competitive Head-to-Head Defense</w:t>
      </w:r>
    </w:p>
    <w:p>
      <w:pPr>
        <w:pStyle w:val="ListBullet"/>
        <w:spacing w:after="40" w:line="276" w:lineRule="auto"/>
      </w:pPr>
      <w:r>
        <w:rPr>
          <w:rFonts w:ascii="Calibri" w:hAnsi="Calibri" w:eastAsia="Calibri"/>
          <w:b/>
          <w:i w:val="0"/>
          <w:color w:val="222222"/>
          <w:sz w:val="19"/>
        </w:rPr>
        <w:t>Target Audience:</w:t>
      </w:r>
      <w:r>
        <w:rPr>
          <w:rFonts w:ascii="Calibri" w:hAnsi="Calibri" w:eastAsia="Calibri"/>
          <w:b w:val="0"/>
          <w:i w:val="0"/>
          <w:color w:val="222222"/>
          <w:sz w:val="19"/>
        </w:rPr>
        <w:t xml:space="preserve"> Sales Team, Pre-Sales Engineers, Bid Managers</w:t>
      </w:r>
    </w:p>
    <w:p>
      <w:pPr>
        <w:pStyle w:val="ListBullet"/>
        <w:spacing w:after="40" w:line="276" w:lineRule="auto"/>
      </w:pPr>
      <w:r>
        <w:rPr>
          <w:rFonts w:ascii="Calibri" w:hAnsi="Calibri" w:eastAsia="Calibri"/>
          <w:b/>
          <w:i w:val="0"/>
          <w:color w:val="222222"/>
          <w:sz w:val="19"/>
        </w:rPr>
        <w:t>Operational Purpose:</w:t>
      </w:r>
      <w:r>
        <w:rPr>
          <w:rFonts w:ascii="Calibri" w:hAnsi="Calibri" w:eastAsia="Calibri"/>
          <w:b w:val="0"/>
          <w:i w:val="0"/>
          <w:color w:val="222222"/>
          <w:sz w:val="19"/>
        </w:rPr>
        <w:t xml:space="preserve"> Detailed competitor teardown of Infosys Finacle Lending module, addressing banks where Finacle is already the incumbent Core Banking System.</w:t>
      </w:r>
    </w:p>
    <w:p>
      <w:pPr>
        <w:pStyle w:val="ListBullet"/>
        <w:spacing w:after="40" w:line="276" w:lineRule="auto"/>
      </w:pPr>
      <w:r>
        <w:rPr>
          <w:rFonts w:ascii="Calibri" w:hAnsi="Calibri" w:eastAsia="Calibri"/>
          <w:b/>
          <w:i w:val="0"/>
          <w:color w:val="222222"/>
          <w:sz w:val="19"/>
        </w:rPr>
        <w:t>Detailed Table of Contents:</w:t>
      </w:r>
    </w:p>
    <w:p>
      <w:pPr>
        <w:spacing w:after="80" w:line="276" w:lineRule="auto"/>
      </w:pPr>
      <w:r>
        <w:rPr>
          <w:rFonts w:ascii="Calibri" w:hAnsi="Calibri" w:eastAsia="Calibri"/>
          <w:b w:val="0"/>
          <w:i w:val="0"/>
          <w:color w:val="222222"/>
          <w:sz w:val="19"/>
        </w:rPr>
        <w:t>1. Competitor Overview: Infosys Finacle Footprint in Bangladesh Banking</w:t>
      </w:r>
    </w:p>
    <w:p>
      <w:pPr>
        <w:spacing w:after="80" w:line="276" w:lineRule="auto"/>
      </w:pPr>
      <w:r>
        <w:rPr>
          <w:rFonts w:ascii="Calibri" w:hAnsi="Calibri" w:eastAsia="Calibri"/>
          <w:b w:val="0"/>
          <w:i w:val="0"/>
          <w:color w:val="222222"/>
          <w:sz w:val="19"/>
        </w:rPr>
        <w:t>2. Competitor Strengths: Massive enterprise scale, deep corporate banking features, trusted global reputation</w:t>
      </w:r>
    </w:p>
    <w:p>
      <w:pPr>
        <w:spacing w:after="80" w:line="276" w:lineRule="auto"/>
      </w:pPr>
      <w:r>
        <w:rPr>
          <w:rFonts w:ascii="Calibri" w:hAnsi="Calibri" w:eastAsia="Calibri"/>
          <w:b w:val="0"/>
          <w:i w:val="0"/>
          <w:color w:val="222222"/>
          <w:sz w:val="19"/>
        </w:rPr>
        <w:t>3. Competitor Critical Vulnerabilities:</w:t>
      </w:r>
    </w:p>
    <w:p>
      <w:pPr>
        <w:pStyle w:val="ListBullet"/>
        <w:spacing w:after="40" w:line="276" w:lineRule="auto"/>
        <w:ind w:left="680"/>
      </w:pPr>
      <w:r>
        <w:rPr>
          <w:rFonts w:ascii="Calibri" w:hAnsi="Calibri" w:eastAsia="Calibri"/>
          <w:b w:val="0"/>
          <w:i w:val="0"/>
          <w:color w:val="222222"/>
          <w:sz w:val="19"/>
        </w:rPr>
        <w:t>Monolithic Rigidity: Modifications require complex product enhancements and heavy services engagement</w:t>
      </w:r>
    </w:p>
    <w:p>
      <w:pPr>
        <w:pStyle w:val="ListBullet"/>
        <w:spacing w:after="40" w:line="276" w:lineRule="auto"/>
        <w:ind w:left="680"/>
      </w:pPr>
      <w:r>
        <w:rPr>
          <w:rFonts w:ascii="Calibri" w:hAnsi="Calibri" w:eastAsia="Calibri"/>
          <w:b w:val="0"/>
          <w:i w:val="0"/>
          <w:color w:val="222222"/>
          <w:sz w:val="19"/>
        </w:rPr>
        <w:t>High Customization Overhead: Simple workflow adjustments take months and cost tens of thousands of dollars</w:t>
      </w:r>
    </w:p>
    <w:p>
      <w:pPr>
        <w:pStyle w:val="ListBullet"/>
        <w:spacing w:after="40" w:line="276" w:lineRule="auto"/>
        <w:ind w:left="680"/>
      </w:pPr>
      <w:r>
        <w:rPr>
          <w:rFonts w:ascii="Calibri" w:hAnsi="Calibri" w:eastAsia="Calibri"/>
          <w:b w:val="0"/>
          <w:i w:val="0"/>
          <w:color w:val="222222"/>
          <w:sz w:val="19"/>
        </w:rPr>
        <w:t>Poor Mobile/Field Officer Experience: Substandard offline agent collection apps for rural/SME loans</w:t>
      </w:r>
    </w:p>
    <w:p>
      <w:pPr>
        <w:pStyle w:val="ListBullet"/>
        <w:spacing w:after="40" w:line="276" w:lineRule="auto"/>
        <w:ind w:left="680"/>
      </w:pPr>
      <w:r>
        <w:rPr>
          <w:rFonts w:ascii="Calibri" w:hAnsi="Calibri" w:eastAsia="Calibri"/>
          <w:b w:val="0"/>
          <w:i w:val="0"/>
          <w:color w:val="222222"/>
          <w:sz w:val="19"/>
        </w:rPr>
        <w:t>Heavy Infrastructure Demands: Substantial hardware and Oracle database licensing overheads</w:t>
      </w:r>
    </w:p>
    <w:p>
      <w:pPr>
        <w:spacing w:after="80" w:line="276" w:lineRule="auto"/>
      </w:pPr>
      <w:r>
        <w:rPr>
          <w:rFonts w:ascii="Calibri" w:hAnsi="Calibri" w:eastAsia="Calibri"/>
          <w:b w:val="0"/>
          <w:i w:val="0"/>
          <w:color w:val="222222"/>
          <w:sz w:val="19"/>
        </w:rPr>
        <w:t>4. ULMS Win Themes: Lightweight modern architecture (Spring Boot 4, React 19, PostgreSQL 17), seamless Finacle REST/SOAP integration, rich mobile app for field officers</w:t>
      </w:r>
    </w:p>
    <w:p>
      <w:pPr>
        <w:spacing w:after="80" w:line="276" w:lineRule="auto"/>
      </w:pPr>
      <w:r>
        <w:rPr>
          <w:rFonts w:ascii="Calibri" w:hAnsi="Calibri" w:eastAsia="Calibri"/>
          <w:b w:val="0"/>
          <w:i w:val="0"/>
          <w:color w:val="222222"/>
          <w:sz w:val="19"/>
        </w:rPr>
        <w:t>5. Trap-Setting Questions for Bank IT and Business Committees</w:t>
      </w:r>
    </w:p>
    <w:p>
      <w:pPr>
        <w:spacing w:after="80" w:line="276" w:lineRule="auto"/>
      </w:pPr>
      <w:r>
        <w:rPr>
          <w:rFonts w:ascii="Calibri" w:hAnsi="Calibri" w:eastAsia="Calibri"/>
          <w:b w:val="0"/>
          <w:i w:val="0"/>
          <w:color w:val="222222"/>
          <w:sz w:val="19"/>
        </w:rPr>
        <w:t>6. Functional Capability Matrix</w:t>
      </w:r>
    </w:p>
    <w:p>
      <w:pPr>
        <w:pStyle w:val="ListBullet"/>
        <w:spacing w:after="40" w:line="276" w:lineRule="auto"/>
      </w:pPr>
      <w:r>
        <w:rPr>
          <w:rFonts w:ascii="Calibri" w:hAnsi="Calibri" w:eastAsia="Calibri"/>
          <w:b/>
          <w:i w:val="0"/>
          <w:color w:val="222222"/>
          <w:sz w:val="19"/>
        </w:rPr>
        <w:t>Core Value Proposition:</w:t>
      </w:r>
      <w:r>
        <w:rPr>
          <w:rFonts w:ascii="Calibri" w:hAnsi="Calibri" w:eastAsia="Calibri"/>
          <w:b w:val="0"/>
          <w:i w:val="0"/>
          <w:color w:val="222222"/>
          <w:sz w:val="19"/>
        </w:rPr>
        <w:t xml:space="preserve"> Convince Finacle-powered banks that ULMS is the ideal specialized digital lending companion that enhances Finacle’s value while avoiding Finacle’s costly customization fees.</w:t>
      </w:r>
    </w:p>
    <w:p>
      <w:pPr>
        <w:pStyle w:val="ListBullet"/>
        <w:spacing w:after="40" w:line="276" w:lineRule="auto"/>
      </w:pPr>
      <w:r>
        <w:rPr>
          <w:rFonts w:ascii="Calibri" w:hAnsi="Calibri" w:eastAsia="Calibri"/>
          <w:b/>
          <w:i w:val="0"/>
          <w:color w:val="222222"/>
          <w:sz w:val="19"/>
        </w:rPr>
        <w:t>Required Inputs &amp; Exhibits:</w:t>
      </w:r>
      <w:r>
        <w:rPr>
          <w:rFonts w:ascii="Calibri" w:hAnsi="Calibri" w:eastAsia="Calibri"/>
          <w:b w:val="0"/>
          <w:i w:val="0"/>
          <w:color w:val="222222"/>
          <w:sz w:val="19"/>
        </w:rPr>
        <w:t xml:space="preserve"> Finacle connector architecture diagram, total infrastructure footprint comparison.</w:t>
      </w:r>
    </w:p>
    <w:p>
      <w:pPr>
        <w:pStyle w:val="ListBullet"/>
        <w:spacing w:after="40" w:line="276" w:lineRule="auto"/>
      </w:pPr>
      <w:r>
        <w:rPr>
          <w:rFonts w:ascii="Calibri" w:hAnsi="Calibri" w:eastAsia="Calibri"/>
          <w:b/>
          <w:i w:val="0"/>
          <w:color w:val="222222"/>
          <w:sz w:val="19"/>
        </w:rPr>
        <w:t>Maintenance Owner:</w:t>
      </w:r>
      <w:r>
        <w:rPr>
          <w:rFonts w:ascii="Calibri" w:hAnsi="Calibri" w:eastAsia="Calibri"/>
          <w:b w:val="0"/>
          <w:i w:val="0"/>
          <w:color w:val="222222"/>
          <w:sz w:val="19"/>
        </w:rPr>
        <w:t xml:space="preserve"> Competitive Intelligence Lead.</w:t>
      </w:r>
    </w:p>
    <w:p>
      <w:pPr>
        <w:keepNext/>
        <w:spacing w:before="160" w:after="40"/>
      </w:pPr>
      <w:r>
        <w:rPr>
          <w:rFonts w:ascii="Calibri" w:hAnsi="Calibri" w:eastAsia="Calibri"/>
          <w:b/>
          <w:i w:val="0"/>
          <w:color w:val="1E2660"/>
          <w:sz w:val="20"/>
        </w:rPr>
        <w:t>DOC-15: Outbound Multi-Touch Outreach Sequence (Email, Phone, LinkedIn)</w:t>
      </w:r>
    </w:p>
    <w:p>
      <w:pPr>
        <w:pStyle w:val="ListBullet"/>
        <w:spacing w:after="40" w:line="276" w:lineRule="auto"/>
      </w:pPr>
      <w:r>
        <w:rPr>
          <w:rFonts w:ascii="Calibri" w:hAnsi="Calibri" w:eastAsia="Calibri"/>
          <w:b/>
          <w:i w:val="0"/>
          <w:color w:val="222222"/>
          <w:sz w:val="19"/>
        </w:rPr>
        <w:t>Target File Path:</w:t>
      </w:r>
      <w:r>
        <w:rPr>
          <w:rFonts w:ascii="Calibri" w:hAnsi="Calibri" w:eastAsia="Calibri"/>
          <w:b w:val="0"/>
          <w:i w:val="0"/>
          <w:color w:val="222222"/>
          <w:sz w:val="19"/>
        </w:rPr>
        <w:t xml:space="preserve"> </w:t>
      </w:r>
      <w:r>
        <w:rPr>
          <w:rFonts w:ascii="Consolas" w:hAnsi="Consolas" w:eastAsia="Consolas"/>
          <w:b w:val="0"/>
          <w:i w:val="0"/>
          <w:color w:val="8B0000"/>
          <w:sz w:val="18"/>
        </w:rPr>
        <w:t>business_document/02_sales_enablement/DOC-15_Outbound_Outreach_Cadence.md</w:t>
      </w:r>
    </w:p>
    <w:p>
      <w:pPr>
        <w:pStyle w:val="ListBullet"/>
        <w:spacing w:after="40" w:line="276" w:lineRule="auto"/>
      </w:pPr>
      <w:r>
        <w:rPr>
          <w:rFonts w:ascii="Calibri" w:hAnsi="Calibri" w:eastAsia="Calibri"/>
          <w:b/>
          <w:i w:val="0"/>
          <w:color w:val="222222"/>
          <w:sz w:val="19"/>
        </w:rPr>
        <w:t>Lifecycle Phase:</w:t>
      </w:r>
      <w:r>
        <w:rPr>
          <w:rFonts w:ascii="Calibri" w:hAnsi="Calibri" w:eastAsia="Calibri"/>
          <w:b w:val="0"/>
          <w:i w:val="0"/>
          <w:color w:val="222222"/>
          <w:sz w:val="19"/>
        </w:rPr>
        <w:t xml:space="preserve"> Prospecting &amp; Discovery Booking</w:t>
      </w:r>
    </w:p>
    <w:p>
      <w:pPr>
        <w:pStyle w:val="ListBullet"/>
        <w:spacing w:after="40" w:line="276" w:lineRule="auto"/>
      </w:pPr>
      <w:r>
        <w:rPr>
          <w:rFonts w:ascii="Calibri" w:hAnsi="Calibri" w:eastAsia="Calibri"/>
          <w:b/>
          <w:i w:val="0"/>
          <w:color w:val="222222"/>
          <w:sz w:val="19"/>
        </w:rPr>
        <w:t>Target Audience:</w:t>
      </w:r>
      <w:r>
        <w:rPr>
          <w:rFonts w:ascii="Calibri" w:hAnsi="Calibri" w:eastAsia="Calibri"/>
          <w:b w:val="0"/>
          <w:i w:val="0"/>
          <w:color w:val="222222"/>
          <w:sz w:val="19"/>
        </w:rPr>
        <w:t xml:space="preserve"> Business Development Representatives (BDRs), Enterprise Account Executives</w:t>
      </w:r>
    </w:p>
    <w:p>
      <w:pPr>
        <w:pStyle w:val="ListBullet"/>
        <w:spacing w:after="40" w:line="276" w:lineRule="auto"/>
      </w:pPr>
      <w:r>
        <w:rPr>
          <w:rFonts w:ascii="Calibri" w:hAnsi="Calibri" w:eastAsia="Calibri"/>
          <w:b/>
          <w:i w:val="0"/>
          <w:color w:val="222222"/>
          <w:sz w:val="19"/>
        </w:rPr>
        <w:t>Operational Purpose:</w:t>
      </w:r>
      <w:r>
        <w:rPr>
          <w:rFonts w:ascii="Calibri" w:hAnsi="Calibri" w:eastAsia="Calibri"/>
          <w:b w:val="0"/>
          <w:i w:val="0"/>
          <w:color w:val="222222"/>
          <w:sz w:val="19"/>
        </w:rPr>
        <w:t xml:space="preserve"> A battle-tested, 8-touch multi-channel outreach cadence with customized message templates targeting bank Managing Directors, Chief Risk Officers, and Heads of Retail/SME.</w:t>
      </w:r>
    </w:p>
    <w:p>
      <w:pPr>
        <w:pStyle w:val="ListBullet"/>
        <w:spacing w:after="40" w:line="276" w:lineRule="auto"/>
      </w:pPr>
      <w:r>
        <w:rPr>
          <w:rFonts w:ascii="Calibri" w:hAnsi="Calibri" w:eastAsia="Calibri"/>
          <w:b/>
          <w:i w:val="0"/>
          <w:color w:val="222222"/>
          <w:sz w:val="19"/>
        </w:rPr>
        <w:t>Detailed Table of Contents:</w:t>
      </w:r>
    </w:p>
    <w:p>
      <w:pPr>
        <w:spacing w:after="80" w:line="276" w:lineRule="auto"/>
      </w:pPr>
      <w:r>
        <w:rPr>
          <w:rFonts w:ascii="Calibri" w:hAnsi="Calibri" w:eastAsia="Calibri"/>
          <w:b w:val="0"/>
          <w:i w:val="0"/>
          <w:color w:val="222222"/>
          <w:sz w:val="19"/>
        </w:rPr>
        <w:t>1. Cadence Architecture: The 21-Day 8-Touch Enterprise Outreach Rhythm</w:t>
      </w:r>
    </w:p>
    <w:p>
      <w:pPr>
        <w:spacing w:after="80" w:line="276" w:lineRule="auto"/>
      </w:pPr>
      <w:r>
        <w:rPr>
          <w:rFonts w:ascii="Calibri" w:hAnsi="Calibri" w:eastAsia="Calibri"/>
          <w:b w:val="0"/>
          <w:i w:val="0"/>
          <w:color w:val="222222"/>
          <w:sz w:val="19"/>
        </w:rPr>
        <w:t>2. Channel Mix: Personalized Email, Executive LinkedIn InMail, Strategic Phone Scripts, Executive Briefing Letters</w:t>
      </w:r>
    </w:p>
    <w:p>
      <w:pPr>
        <w:spacing w:after="80" w:line="276" w:lineRule="auto"/>
      </w:pPr>
      <w:r>
        <w:rPr>
          <w:rFonts w:ascii="Calibri" w:hAnsi="Calibri" w:eastAsia="Calibri"/>
          <w:b w:val="0"/>
          <w:i w:val="0"/>
          <w:color w:val="222222"/>
          <w:sz w:val="19"/>
        </w:rPr>
        <w:t>3. Track A: Managing Director / CEO Sequence (Theme: Eliminating NPLs &amp; Slashing IT Cost)</w:t>
      </w:r>
    </w:p>
    <w:p>
      <w:pPr>
        <w:spacing w:after="80" w:line="276" w:lineRule="auto"/>
      </w:pPr>
      <w:r>
        <w:rPr>
          <w:rFonts w:ascii="Calibri" w:hAnsi="Calibri" w:eastAsia="Calibri"/>
          <w:b w:val="0"/>
          <w:i w:val="0"/>
          <w:color w:val="222222"/>
          <w:sz w:val="19"/>
        </w:rPr>
        <w:t>4. Track B: Chief Risk Officer Sequence (Theme: BRPD 15/2024 &amp; Automated IFRS-9 Compliance)</w:t>
      </w:r>
    </w:p>
    <w:p>
      <w:pPr>
        <w:spacing w:after="80" w:line="276" w:lineRule="auto"/>
      </w:pPr>
      <w:r>
        <w:rPr>
          <w:rFonts w:ascii="Calibri" w:hAnsi="Calibri" w:eastAsia="Calibri"/>
          <w:b w:val="0"/>
          <w:i w:val="0"/>
          <w:color w:val="222222"/>
          <w:sz w:val="19"/>
        </w:rPr>
        <w:t>5. Track C: Head of Retail / SME Sequence (Theme: Cutting Loan TAT from 21 Days to 48 Hours)</w:t>
      </w:r>
    </w:p>
    <w:p>
      <w:pPr>
        <w:spacing w:after="80" w:line="276" w:lineRule="auto"/>
      </w:pPr>
      <w:r>
        <w:rPr>
          <w:rFonts w:ascii="Calibri" w:hAnsi="Calibri" w:eastAsia="Calibri"/>
          <w:b w:val="0"/>
          <w:i w:val="0"/>
          <w:color w:val="222222"/>
          <w:sz w:val="19"/>
        </w:rPr>
        <w:t>6. Track D: Chief Information Officer Sequence (Theme: Modern Modular Monolith, Open APIs, Zero Lock-In)</w:t>
      </w:r>
    </w:p>
    <w:p>
      <w:pPr>
        <w:spacing w:after="80" w:line="276" w:lineRule="auto"/>
      </w:pPr>
      <w:r>
        <w:rPr>
          <w:rFonts w:ascii="Calibri" w:hAnsi="Calibri" w:eastAsia="Calibri"/>
          <w:b w:val="0"/>
          <w:i w:val="0"/>
          <w:color w:val="222222"/>
          <w:sz w:val="19"/>
        </w:rPr>
        <w:t>7. Cold Calling &amp; Executive Gatekeeper Navigation Scripts</w:t>
      </w:r>
    </w:p>
    <w:p>
      <w:pPr>
        <w:spacing w:after="80" w:line="276" w:lineRule="auto"/>
      </w:pPr>
      <w:r>
        <w:rPr>
          <w:rFonts w:ascii="Calibri" w:hAnsi="Calibri" w:eastAsia="Calibri"/>
          <w:b w:val="0"/>
          <w:i w:val="0"/>
          <w:color w:val="222222"/>
          <w:sz w:val="19"/>
        </w:rPr>
        <w:t>8. Follow-Up Templates for Unresponsive Prospects &amp; Re-Engagement Plays</w:t>
      </w:r>
    </w:p>
    <w:p>
      <w:pPr>
        <w:pStyle w:val="ListBullet"/>
        <w:spacing w:after="40" w:line="276" w:lineRule="auto"/>
      </w:pPr>
      <w:r>
        <w:rPr>
          <w:rFonts w:ascii="Calibri" w:hAnsi="Calibri" w:eastAsia="Calibri"/>
          <w:b/>
          <w:i w:val="0"/>
          <w:color w:val="222222"/>
          <w:sz w:val="19"/>
        </w:rPr>
        <w:t>Core Value Proposition:</w:t>
      </w:r>
      <w:r>
        <w:rPr>
          <w:rFonts w:ascii="Calibri" w:hAnsi="Calibri" w:eastAsia="Calibri"/>
          <w:b w:val="0"/>
          <w:i w:val="0"/>
          <w:color w:val="222222"/>
          <w:sz w:val="19"/>
        </w:rPr>
        <w:t xml:space="preserve"> Provide sales reps with professionally crafted, value-led outreach templates that open doors with the most senior banking executives in the country.</w:t>
      </w:r>
    </w:p>
    <w:p>
      <w:pPr>
        <w:pStyle w:val="ListBullet"/>
        <w:spacing w:after="40" w:line="276" w:lineRule="auto"/>
      </w:pPr>
      <w:r>
        <w:rPr>
          <w:rFonts w:ascii="Calibri" w:hAnsi="Calibri" w:eastAsia="Calibri"/>
          <w:b/>
          <w:i w:val="0"/>
          <w:color w:val="222222"/>
          <w:sz w:val="19"/>
        </w:rPr>
        <w:t>Required Inputs &amp; Exhibits:</w:t>
      </w:r>
      <w:r>
        <w:rPr>
          <w:rFonts w:ascii="Calibri" w:hAnsi="Calibri" w:eastAsia="Calibri"/>
          <w:b w:val="0"/>
          <w:i w:val="0"/>
          <w:color w:val="222222"/>
          <w:sz w:val="19"/>
        </w:rPr>
        <w:t xml:space="preserve"> Email subject line test data, phone script decision tree.</w:t>
      </w:r>
    </w:p>
    <w:p>
      <w:pPr>
        <w:pStyle w:val="ListBullet"/>
        <w:spacing w:after="40" w:line="276" w:lineRule="auto"/>
      </w:pPr>
      <w:r>
        <w:rPr>
          <w:rFonts w:ascii="Calibri" w:hAnsi="Calibri" w:eastAsia="Calibri"/>
          <w:b/>
          <w:i w:val="0"/>
          <w:color w:val="222222"/>
          <w:sz w:val="19"/>
        </w:rPr>
        <w:t>Maintenance Owner:</w:t>
      </w:r>
      <w:r>
        <w:rPr>
          <w:rFonts w:ascii="Calibri" w:hAnsi="Calibri" w:eastAsia="Calibri"/>
          <w:b w:val="0"/>
          <w:i w:val="0"/>
          <w:color w:val="222222"/>
          <w:sz w:val="19"/>
        </w:rPr>
        <w:t xml:space="preserve"> Sales Operations &amp; Marketing Lead.</w:t>
      </w:r>
    </w:p>
    <w:p>
      <w:pPr>
        <w:pStyle w:val="Heading3"/>
        <w:keepNext/>
      </w:pPr>
      <w:r>
        <w:t>CATEGORY 3: PRODUCT DEMOS, SOLUTIONS &amp; SEGMENT COLLATERAL (CAT-03)</w:t>
      </w:r>
    </w:p>
    <w:p>
      <w:pPr>
        <w:keepNext/>
        <w:spacing w:before="160" w:after="40"/>
      </w:pPr>
      <w:r>
        <w:rPr>
          <w:rFonts w:ascii="Calibri" w:hAnsi="Calibri" w:eastAsia="Calibri"/>
          <w:b/>
          <w:i w:val="0"/>
          <w:color w:val="1E2660"/>
          <w:sz w:val="20"/>
        </w:rPr>
        <w:t>DOC-16: Master Product Demo Script &amp; Narrative Flow (Role-Based)</w:t>
      </w:r>
    </w:p>
    <w:p>
      <w:pPr>
        <w:pStyle w:val="ListBullet"/>
        <w:spacing w:after="40" w:line="276" w:lineRule="auto"/>
      </w:pPr>
      <w:r>
        <w:rPr>
          <w:rFonts w:ascii="Calibri" w:hAnsi="Calibri" w:eastAsia="Calibri"/>
          <w:b/>
          <w:i w:val="0"/>
          <w:color w:val="222222"/>
          <w:sz w:val="19"/>
        </w:rPr>
        <w:t>Target File Path:</w:t>
      </w:r>
      <w:r>
        <w:rPr>
          <w:rFonts w:ascii="Calibri" w:hAnsi="Calibri" w:eastAsia="Calibri"/>
          <w:b w:val="0"/>
          <w:i w:val="0"/>
          <w:color w:val="222222"/>
          <w:sz w:val="19"/>
        </w:rPr>
        <w:t xml:space="preserve"> </w:t>
      </w:r>
      <w:r>
        <w:rPr>
          <w:rFonts w:ascii="Consolas" w:hAnsi="Consolas" w:eastAsia="Consolas"/>
          <w:b w:val="0"/>
          <w:i w:val="0"/>
          <w:color w:val="8B0000"/>
          <w:sz w:val="18"/>
        </w:rPr>
        <w:t>business_document/03_demos_and_solutions/DOC-16_Master_Demo_Script_Role_Based.md</w:t>
      </w:r>
    </w:p>
    <w:p>
      <w:pPr>
        <w:pStyle w:val="ListBullet"/>
        <w:spacing w:after="40" w:line="276" w:lineRule="auto"/>
      </w:pPr>
      <w:r>
        <w:rPr>
          <w:rFonts w:ascii="Calibri" w:hAnsi="Calibri" w:eastAsia="Calibri"/>
          <w:b/>
          <w:i w:val="0"/>
          <w:color w:val="222222"/>
          <w:sz w:val="19"/>
        </w:rPr>
        <w:t>Lifecycle Phase:</w:t>
      </w:r>
      <w:r>
        <w:rPr>
          <w:rFonts w:ascii="Calibri" w:hAnsi="Calibri" w:eastAsia="Calibri"/>
          <w:b w:val="0"/>
          <w:i w:val="0"/>
          <w:color w:val="222222"/>
          <w:sz w:val="19"/>
        </w:rPr>
        <w:t xml:space="preserve"> Demonstration &amp; Solution Validation</w:t>
      </w:r>
    </w:p>
    <w:p>
      <w:pPr>
        <w:pStyle w:val="ListBullet"/>
        <w:spacing w:after="40" w:line="276" w:lineRule="auto"/>
      </w:pPr>
      <w:r>
        <w:rPr>
          <w:rFonts w:ascii="Calibri" w:hAnsi="Calibri" w:eastAsia="Calibri"/>
          <w:b/>
          <w:i w:val="0"/>
          <w:color w:val="222222"/>
          <w:sz w:val="19"/>
        </w:rPr>
        <w:t>Target Audience:</w:t>
      </w:r>
      <w:r>
        <w:rPr>
          <w:rFonts w:ascii="Calibri" w:hAnsi="Calibri" w:eastAsia="Calibri"/>
          <w:b w:val="0"/>
          <w:i w:val="0"/>
          <w:color w:val="222222"/>
          <w:sz w:val="19"/>
        </w:rPr>
        <w:t xml:space="preserve"> Pre-Sales Solution Engineers, Product Demonstrators, Bank Evaluation Teams</w:t>
      </w:r>
    </w:p>
    <w:p>
      <w:pPr>
        <w:pStyle w:val="ListBullet"/>
        <w:spacing w:after="40" w:line="276" w:lineRule="auto"/>
      </w:pPr>
      <w:r>
        <w:rPr>
          <w:rFonts w:ascii="Calibri" w:hAnsi="Calibri" w:eastAsia="Calibri"/>
          <w:b/>
          <w:i w:val="0"/>
          <w:color w:val="222222"/>
          <w:sz w:val="19"/>
        </w:rPr>
        <w:t>Operational Purpose:</w:t>
      </w:r>
      <w:r>
        <w:rPr>
          <w:rFonts w:ascii="Calibri" w:hAnsi="Calibri" w:eastAsia="Calibri"/>
          <w:b w:val="0"/>
          <w:i w:val="0"/>
          <w:color w:val="222222"/>
          <w:sz w:val="19"/>
        </w:rPr>
        <w:t xml:space="preserve"> A comprehensive, theatrical narrative demo script guiding presenters through a realistic end-to-end loan journey from customer requisition to post-disbursement servicing.</w:t>
      </w:r>
    </w:p>
    <w:p>
      <w:pPr>
        <w:pStyle w:val="ListBullet"/>
        <w:spacing w:after="40" w:line="276" w:lineRule="auto"/>
      </w:pPr>
      <w:r>
        <w:rPr>
          <w:rFonts w:ascii="Calibri" w:hAnsi="Calibri" w:eastAsia="Calibri"/>
          <w:b/>
          <w:i w:val="0"/>
          <w:color w:val="222222"/>
          <w:sz w:val="19"/>
        </w:rPr>
        <w:t>Detailed Table of Contents:</w:t>
      </w:r>
    </w:p>
    <w:p>
      <w:pPr>
        <w:spacing w:after="80" w:line="276" w:lineRule="auto"/>
      </w:pPr>
      <w:r>
        <w:rPr>
          <w:rFonts w:ascii="Calibri" w:hAnsi="Calibri" w:eastAsia="Calibri"/>
          <w:b w:val="0"/>
          <w:i w:val="0"/>
          <w:color w:val="222222"/>
          <w:sz w:val="19"/>
        </w:rPr>
        <w:t>1. Demo Pre-Flight Checklist: Environment Setup, Dummy Data Verification, Role Account Credentials</w:t>
      </w:r>
    </w:p>
    <w:p>
      <w:pPr>
        <w:spacing w:after="80" w:line="276" w:lineRule="auto"/>
      </w:pPr>
      <w:r>
        <w:rPr>
          <w:rFonts w:ascii="Calibri" w:hAnsi="Calibri" w:eastAsia="Calibri"/>
          <w:b w:val="0"/>
          <w:i w:val="0"/>
          <w:color w:val="222222"/>
          <w:sz w:val="19"/>
        </w:rPr>
        <w:t>2. The Hook (0–5 Mins): The Executive Dashboard &amp; Real-Time Portfolio Health</w:t>
      </w:r>
    </w:p>
    <w:p>
      <w:pPr>
        <w:spacing w:after="80" w:line="276" w:lineRule="auto"/>
      </w:pPr>
      <w:r>
        <w:rPr>
          <w:rFonts w:ascii="Calibri" w:hAnsi="Calibri" w:eastAsia="Calibri"/>
          <w:b w:val="0"/>
          <w:i w:val="0"/>
          <w:color w:val="222222"/>
          <w:sz w:val="19"/>
        </w:rPr>
        <w:t>3. Act 1 (5–15 Mins): The Borrower &amp; Field Agent Experience (Mobile Onboarding, NIDW e-KYC, Instant DBR Check)</w:t>
      </w:r>
    </w:p>
    <w:p>
      <w:pPr>
        <w:spacing w:after="80" w:line="276" w:lineRule="auto"/>
      </w:pPr>
      <w:r>
        <w:rPr>
          <w:rFonts w:ascii="Calibri" w:hAnsi="Calibri" w:eastAsia="Calibri"/>
          <w:b w:val="0"/>
          <w:i w:val="0"/>
          <w:color w:val="222222"/>
          <w:sz w:val="19"/>
        </w:rPr>
        <w:t>4. Act 2 (15–25 Mins): The Branch Officer &amp; BOCC Workflow (Automated CIB Inquiry, Deduplication, Document Vault)</w:t>
      </w:r>
    </w:p>
    <w:p>
      <w:pPr>
        <w:spacing w:after="80" w:line="276" w:lineRule="auto"/>
      </w:pPr>
      <w:r>
        <w:rPr>
          <w:rFonts w:ascii="Calibri" w:hAnsi="Calibri" w:eastAsia="Calibri"/>
          <w:b w:val="0"/>
          <w:i w:val="0"/>
          <w:color w:val="222222"/>
          <w:sz w:val="19"/>
        </w:rPr>
        <w:t>5. Act 3 (25–35 Mins): The Credit Risk Underwriter (AI-Assisted Credit Scoring, Collateral Valuation, Deviation Tagging)</w:t>
      </w:r>
    </w:p>
    <w:p>
      <w:pPr>
        <w:spacing w:after="80" w:line="276" w:lineRule="auto"/>
      </w:pPr>
      <w:r>
        <w:rPr>
          <w:rFonts w:ascii="Calibri" w:hAnsi="Calibri" w:eastAsia="Calibri"/>
          <w:b w:val="0"/>
          <w:i w:val="0"/>
          <w:color w:val="222222"/>
          <w:sz w:val="19"/>
        </w:rPr>
        <w:t>6. Act 4 (35–45 Mins): Multi-Level Approval Hierarchy (L1 Branch to L7 Board Committee Digital Signatures)</w:t>
      </w:r>
    </w:p>
    <w:p>
      <w:pPr>
        <w:spacing w:after="80" w:line="276" w:lineRule="auto"/>
      </w:pPr>
      <w:r>
        <w:rPr>
          <w:rFonts w:ascii="Calibri" w:hAnsi="Calibri" w:eastAsia="Calibri"/>
          <w:b w:val="0"/>
          <w:i w:val="0"/>
          <w:color w:val="222222"/>
          <w:sz w:val="19"/>
        </w:rPr>
        <w:t>7. Act 5 (45–55 Mins): Automated CBS Disbursement &amp; Servicing (Limit Loading, Amortization Schedule, Repayment)</w:t>
      </w:r>
    </w:p>
    <w:p>
      <w:pPr>
        <w:spacing w:after="80" w:line="276" w:lineRule="auto"/>
      </w:pPr>
      <w:r>
        <w:rPr>
          <w:rFonts w:ascii="Calibri" w:hAnsi="Calibri" w:eastAsia="Calibri"/>
          <w:b w:val="0"/>
          <w:i w:val="0"/>
          <w:color w:val="222222"/>
          <w:sz w:val="19"/>
        </w:rPr>
        <w:t>8. Act 6 (55–65 Mins): Risk, Collections &amp; Regulatory Reporting (BRPD 15/2024 Classification, DPD Tracking, CIB Return Export)</w:t>
      </w:r>
    </w:p>
    <w:p>
      <w:pPr>
        <w:spacing w:after="80" w:line="276" w:lineRule="auto"/>
      </w:pPr>
      <w:r>
        <w:rPr>
          <w:rFonts w:ascii="Calibri" w:hAnsi="Calibri" w:eastAsia="Calibri"/>
          <w:b w:val="0"/>
          <w:i w:val="0"/>
          <w:color w:val="222222"/>
          <w:sz w:val="19"/>
        </w:rPr>
        <w:t>9. The Close (65–75 Mins): Q&amp;A Strategy, System Configuration Showcase, Next Steps</w:t>
      </w:r>
    </w:p>
    <w:p>
      <w:pPr>
        <w:pStyle w:val="ListBullet"/>
        <w:spacing w:after="40" w:line="276" w:lineRule="auto"/>
      </w:pPr>
      <w:r>
        <w:rPr>
          <w:rFonts w:ascii="Calibri" w:hAnsi="Calibri" w:eastAsia="Calibri"/>
          <w:b/>
          <w:i w:val="0"/>
          <w:color w:val="222222"/>
          <w:sz w:val="19"/>
        </w:rPr>
        <w:t>Core Value Proposition:</w:t>
      </w:r>
      <w:r>
        <w:rPr>
          <w:rFonts w:ascii="Calibri" w:hAnsi="Calibri" w:eastAsia="Calibri"/>
          <w:b w:val="0"/>
          <w:i w:val="0"/>
          <w:color w:val="222222"/>
          <w:sz w:val="19"/>
        </w:rPr>
        <w:t xml:space="preserve"> Ensure demonstrations are engaging, narrative-driven business showcases rather than dry, disconnected feature click-throughs.</w:t>
      </w:r>
    </w:p>
    <w:p>
      <w:pPr>
        <w:pStyle w:val="ListBullet"/>
        <w:spacing w:after="40" w:line="276" w:lineRule="auto"/>
      </w:pPr>
      <w:r>
        <w:rPr>
          <w:rFonts w:ascii="Calibri" w:hAnsi="Calibri" w:eastAsia="Calibri"/>
          <w:b/>
          <w:i w:val="0"/>
          <w:color w:val="222222"/>
          <w:sz w:val="19"/>
        </w:rPr>
        <w:t>Required Inputs &amp; Exhibits:</w:t>
      </w:r>
      <w:r>
        <w:rPr>
          <w:rFonts w:ascii="Calibri" w:hAnsi="Calibri" w:eastAsia="Calibri"/>
          <w:b w:val="0"/>
          <w:i w:val="0"/>
          <w:color w:val="222222"/>
          <w:sz w:val="19"/>
        </w:rPr>
        <w:t xml:space="preserve"> Demo persona logins, mock borrower profile sheets, live environment URL bookmarks.</w:t>
      </w:r>
    </w:p>
    <w:p>
      <w:pPr>
        <w:pStyle w:val="ListBullet"/>
        <w:spacing w:after="40" w:line="276" w:lineRule="auto"/>
      </w:pPr>
      <w:r>
        <w:rPr>
          <w:rFonts w:ascii="Calibri" w:hAnsi="Calibri" w:eastAsia="Calibri"/>
          <w:b/>
          <w:i w:val="0"/>
          <w:color w:val="222222"/>
          <w:sz w:val="19"/>
        </w:rPr>
        <w:t>Maintenance Owner:</w:t>
      </w:r>
      <w:r>
        <w:rPr>
          <w:rFonts w:ascii="Calibri" w:hAnsi="Calibri" w:eastAsia="Calibri"/>
          <w:b w:val="0"/>
          <w:i w:val="0"/>
          <w:color w:val="222222"/>
          <w:sz w:val="19"/>
        </w:rPr>
        <w:t xml:space="preserve"> Lead Solution Architect &amp; Pre-Sales Manager.</w:t>
      </w:r>
    </w:p>
    <w:p>
      <w:pPr>
        <w:keepNext/>
        <w:spacing w:before="160" w:after="40"/>
      </w:pPr>
      <w:r>
        <w:rPr>
          <w:rFonts w:ascii="Calibri" w:hAnsi="Calibri" w:eastAsia="Calibri"/>
          <w:b/>
          <w:i w:val="0"/>
          <w:color w:val="1E2660"/>
          <w:sz w:val="20"/>
        </w:rPr>
        <w:t>DOC-17: Interactive Demo Guide &amp; Click-Path Cheat Sheet</w:t>
      </w:r>
    </w:p>
    <w:p>
      <w:pPr>
        <w:pStyle w:val="ListBullet"/>
        <w:spacing w:after="40" w:line="276" w:lineRule="auto"/>
      </w:pPr>
      <w:r>
        <w:rPr>
          <w:rFonts w:ascii="Calibri" w:hAnsi="Calibri" w:eastAsia="Calibri"/>
          <w:b/>
          <w:i w:val="0"/>
          <w:color w:val="222222"/>
          <w:sz w:val="19"/>
        </w:rPr>
        <w:t>Target File Path:</w:t>
      </w:r>
      <w:r>
        <w:rPr>
          <w:rFonts w:ascii="Calibri" w:hAnsi="Calibri" w:eastAsia="Calibri"/>
          <w:b w:val="0"/>
          <w:i w:val="0"/>
          <w:color w:val="222222"/>
          <w:sz w:val="19"/>
        </w:rPr>
        <w:t xml:space="preserve"> </w:t>
      </w:r>
      <w:r>
        <w:rPr>
          <w:rFonts w:ascii="Consolas" w:hAnsi="Consolas" w:eastAsia="Consolas"/>
          <w:b w:val="0"/>
          <w:i w:val="0"/>
          <w:color w:val="8B0000"/>
          <w:sz w:val="18"/>
        </w:rPr>
        <w:t>business_document/03_demos_and_solutions/DOC-17_Interactive_Demo_Clickpath.md</w:t>
      </w:r>
    </w:p>
    <w:p>
      <w:pPr>
        <w:pStyle w:val="ListBullet"/>
        <w:spacing w:after="40" w:line="276" w:lineRule="auto"/>
      </w:pPr>
      <w:r>
        <w:rPr>
          <w:rFonts w:ascii="Calibri" w:hAnsi="Calibri" w:eastAsia="Calibri"/>
          <w:b/>
          <w:i w:val="0"/>
          <w:color w:val="222222"/>
          <w:sz w:val="19"/>
        </w:rPr>
        <w:t>Lifecycle Phase:</w:t>
      </w:r>
      <w:r>
        <w:rPr>
          <w:rFonts w:ascii="Calibri" w:hAnsi="Calibri" w:eastAsia="Calibri"/>
          <w:b w:val="0"/>
          <w:i w:val="0"/>
          <w:color w:val="222222"/>
          <w:sz w:val="19"/>
        </w:rPr>
        <w:t xml:space="preserve"> Hands-On Evaluation &amp; Pre-Sales Backup</w:t>
      </w:r>
    </w:p>
    <w:p>
      <w:pPr>
        <w:pStyle w:val="ListBullet"/>
        <w:spacing w:after="40" w:line="276" w:lineRule="auto"/>
      </w:pPr>
      <w:r>
        <w:rPr>
          <w:rFonts w:ascii="Calibri" w:hAnsi="Calibri" w:eastAsia="Calibri"/>
          <w:b/>
          <w:i w:val="0"/>
          <w:color w:val="222222"/>
          <w:sz w:val="19"/>
        </w:rPr>
        <w:t>Target Audience:</w:t>
      </w:r>
      <w:r>
        <w:rPr>
          <w:rFonts w:ascii="Calibri" w:hAnsi="Calibri" w:eastAsia="Calibri"/>
          <w:b w:val="0"/>
          <w:i w:val="0"/>
          <w:color w:val="222222"/>
          <w:sz w:val="19"/>
        </w:rPr>
        <w:t xml:space="preserve"> Pre-Sales Engineers, Technical Account Managers, Bank Evaluation Committees</w:t>
      </w:r>
    </w:p>
    <w:p>
      <w:pPr>
        <w:pStyle w:val="ListBullet"/>
        <w:spacing w:after="40" w:line="276" w:lineRule="auto"/>
      </w:pPr>
      <w:r>
        <w:rPr>
          <w:rFonts w:ascii="Calibri" w:hAnsi="Calibri" w:eastAsia="Calibri"/>
          <w:b/>
          <w:i w:val="0"/>
          <w:color w:val="222222"/>
          <w:sz w:val="19"/>
        </w:rPr>
        <w:t>Operational Purpose:</w:t>
      </w:r>
      <w:r>
        <w:rPr>
          <w:rFonts w:ascii="Calibri" w:hAnsi="Calibri" w:eastAsia="Calibri"/>
          <w:b w:val="0"/>
          <w:i w:val="0"/>
          <w:color w:val="222222"/>
          <w:sz w:val="19"/>
        </w:rPr>
        <w:t xml:space="preserve"> A quick-reference cheat sheet providing exact UI clickpaths, field input values, sample NIDs, and shortcut keys for navigating the 166 screens of the ULMS React 19 interface.</w:t>
      </w:r>
    </w:p>
    <w:p>
      <w:pPr>
        <w:pStyle w:val="ListBullet"/>
        <w:spacing w:after="40" w:line="276" w:lineRule="auto"/>
      </w:pPr>
      <w:r>
        <w:rPr>
          <w:rFonts w:ascii="Calibri" w:hAnsi="Calibri" w:eastAsia="Calibri"/>
          <w:b/>
          <w:i w:val="0"/>
          <w:color w:val="222222"/>
          <w:sz w:val="19"/>
        </w:rPr>
        <w:t>Detailed Table of Contents:</w:t>
      </w:r>
    </w:p>
    <w:p>
      <w:pPr>
        <w:spacing w:after="80" w:line="276" w:lineRule="auto"/>
      </w:pPr>
      <w:r>
        <w:rPr>
          <w:rFonts w:ascii="Calibri" w:hAnsi="Calibri" w:eastAsia="Calibri"/>
          <w:b w:val="0"/>
          <w:i w:val="0"/>
          <w:color w:val="222222"/>
          <w:sz w:val="19"/>
        </w:rPr>
        <w:t>1. Quick Reference: User Roles, Passwords, and Portal URLs</w:t>
      </w:r>
    </w:p>
    <w:p>
      <w:pPr>
        <w:spacing w:after="80" w:line="276" w:lineRule="auto"/>
      </w:pPr>
      <w:r>
        <w:rPr>
          <w:rFonts w:ascii="Calibri" w:hAnsi="Calibri" w:eastAsia="Calibri"/>
          <w:b w:val="0"/>
          <w:i w:val="0"/>
          <w:color w:val="222222"/>
          <w:sz w:val="19"/>
        </w:rPr>
        <w:t>2. Master Clickpath Table: Module, Screen Name, URL Route, Key Actions, Validation Checkpoint</w:t>
      </w:r>
    </w:p>
    <w:p>
      <w:pPr>
        <w:spacing w:after="80" w:line="276" w:lineRule="auto"/>
      </w:pPr>
      <w:r>
        <w:rPr>
          <w:rFonts w:ascii="Calibri" w:hAnsi="Calibri" w:eastAsia="Calibri"/>
          <w:b w:val="0"/>
          <w:i w:val="0"/>
          <w:color w:val="222222"/>
          <w:sz w:val="19"/>
        </w:rPr>
        <w:t>3. Sample Test Identities: Clean Borrower, High-Risk Borrower, Over-Indebted Borrower, Islamic SME Borrower</w:t>
      </w:r>
    </w:p>
    <w:p>
      <w:pPr>
        <w:spacing w:after="80" w:line="276" w:lineRule="auto"/>
      </w:pPr>
      <w:r>
        <w:rPr>
          <w:rFonts w:ascii="Calibri" w:hAnsi="Calibri" w:eastAsia="Calibri"/>
          <w:b w:val="0"/>
          <w:i w:val="0"/>
          <w:color w:val="222222"/>
          <w:sz w:val="19"/>
        </w:rPr>
        <w:t>4. Shortcut Navigation Keys and Filter Presets</w:t>
      </w:r>
    </w:p>
    <w:p>
      <w:pPr>
        <w:spacing w:after="80" w:line="276" w:lineRule="auto"/>
      </w:pPr>
      <w:r>
        <w:rPr>
          <w:rFonts w:ascii="Calibri" w:hAnsi="Calibri" w:eastAsia="Calibri"/>
          <w:b w:val="0"/>
          <w:i w:val="0"/>
          <w:color w:val="222222"/>
          <w:sz w:val="19"/>
        </w:rPr>
        <w:t>5. Demo Failsafe Procedures: Resetting Demo Data, Flushing Caches, Bypassing Stalled Background Jobs</w:t>
      </w:r>
    </w:p>
    <w:p>
      <w:pPr>
        <w:pStyle w:val="ListBullet"/>
        <w:spacing w:after="40" w:line="276" w:lineRule="auto"/>
      </w:pPr>
      <w:r>
        <w:rPr>
          <w:rFonts w:ascii="Calibri" w:hAnsi="Calibri" w:eastAsia="Calibri"/>
          <w:b/>
          <w:i w:val="0"/>
          <w:color w:val="222222"/>
          <w:sz w:val="19"/>
        </w:rPr>
        <w:t>Core Value Proposition:</w:t>
      </w:r>
      <w:r>
        <w:rPr>
          <w:rFonts w:ascii="Calibri" w:hAnsi="Calibri" w:eastAsia="Calibri"/>
          <w:b w:val="0"/>
          <w:i w:val="0"/>
          <w:color w:val="222222"/>
          <w:sz w:val="19"/>
        </w:rPr>
        <w:t xml:space="preserve"> Guarantee that presenters never fumble or trigger unexpected errors during high-stakes demonstrations to bank evaluation committees.</w:t>
      </w:r>
    </w:p>
    <w:p>
      <w:pPr>
        <w:pStyle w:val="ListBullet"/>
        <w:spacing w:after="40" w:line="276" w:lineRule="auto"/>
      </w:pPr>
      <w:r>
        <w:rPr>
          <w:rFonts w:ascii="Calibri" w:hAnsi="Calibri" w:eastAsia="Calibri"/>
          <w:b/>
          <w:i w:val="0"/>
          <w:color w:val="222222"/>
          <w:sz w:val="19"/>
        </w:rPr>
        <w:t>Required Inputs &amp; Exhibits:</w:t>
      </w:r>
      <w:r>
        <w:rPr>
          <w:rFonts w:ascii="Calibri" w:hAnsi="Calibri" w:eastAsia="Calibri"/>
          <w:b w:val="0"/>
          <w:i w:val="0"/>
          <w:color w:val="222222"/>
          <w:sz w:val="19"/>
        </w:rPr>
        <w:t xml:space="preserve"> UI route map table, test identity data cards.</w:t>
      </w:r>
    </w:p>
    <w:p>
      <w:pPr>
        <w:pStyle w:val="ListBullet"/>
        <w:spacing w:after="40" w:line="276" w:lineRule="auto"/>
      </w:pPr>
      <w:r>
        <w:rPr>
          <w:rFonts w:ascii="Calibri" w:hAnsi="Calibri" w:eastAsia="Calibri"/>
          <w:b/>
          <w:i w:val="0"/>
          <w:color w:val="222222"/>
          <w:sz w:val="19"/>
        </w:rPr>
        <w:t>Maintenance Owner:</w:t>
      </w:r>
      <w:r>
        <w:rPr>
          <w:rFonts w:ascii="Calibri" w:hAnsi="Calibri" w:eastAsia="Calibri"/>
          <w:b w:val="0"/>
          <w:i w:val="0"/>
          <w:color w:val="222222"/>
          <w:sz w:val="19"/>
        </w:rPr>
        <w:t xml:space="preserve"> Lead Frontend Engineer &amp; Demo Operations Lead.</w:t>
      </w:r>
    </w:p>
    <w:p>
      <w:pPr>
        <w:keepNext/>
        <w:spacing w:before="160" w:after="40"/>
      </w:pPr>
      <w:r>
        <w:rPr>
          <w:rFonts w:ascii="Calibri" w:hAnsi="Calibri" w:eastAsia="Calibri"/>
          <w:b/>
          <w:i w:val="0"/>
          <w:color w:val="1E2660"/>
          <w:sz w:val="20"/>
        </w:rPr>
        <w:t>DOC-18: Segment Solution Brief: Retail Lending Automation</w:t>
      </w:r>
    </w:p>
    <w:p>
      <w:pPr>
        <w:pStyle w:val="ListBullet"/>
        <w:spacing w:after="40" w:line="276" w:lineRule="auto"/>
      </w:pPr>
      <w:r>
        <w:rPr>
          <w:rFonts w:ascii="Calibri" w:hAnsi="Calibri" w:eastAsia="Calibri"/>
          <w:b/>
          <w:i w:val="0"/>
          <w:color w:val="222222"/>
          <w:sz w:val="19"/>
        </w:rPr>
        <w:t>Target File Path:</w:t>
      </w:r>
      <w:r>
        <w:rPr>
          <w:rFonts w:ascii="Calibri" w:hAnsi="Calibri" w:eastAsia="Calibri"/>
          <w:b w:val="0"/>
          <w:i w:val="0"/>
          <w:color w:val="222222"/>
          <w:sz w:val="19"/>
        </w:rPr>
        <w:t xml:space="preserve"> </w:t>
      </w:r>
      <w:r>
        <w:rPr>
          <w:rFonts w:ascii="Consolas" w:hAnsi="Consolas" w:eastAsia="Consolas"/>
          <w:b w:val="0"/>
          <w:i w:val="0"/>
          <w:color w:val="8B0000"/>
          <w:sz w:val="18"/>
        </w:rPr>
        <w:t>business_document/03_demos_and_solutions/DOC-18_Solution_Brief_Retail.md</w:t>
      </w:r>
    </w:p>
    <w:p>
      <w:pPr>
        <w:pStyle w:val="ListBullet"/>
        <w:spacing w:after="40" w:line="276" w:lineRule="auto"/>
      </w:pPr>
      <w:r>
        <w:rPr>
          <w:rFonts w:ascii="Calibri" w:hAnsi="Calibri" w:eastAsia="Calibri"/>
          <w:b/>
          <w:i w:val="0"/>
          <w:color w:val="222222"/>
          <w:sz w:val="19"/>
        </w:rPr>
        <w:t>Lifecycle Phase:</w:t>
      </w:r>
      <w:r>
        <w:rPr>
          <w:rFonts w:ascii="Calibri" w:hAnsi="Calibri" w:eastAsia="Calibri"/>
          <w:b w:val="0"/>
          <w:i w:val="0"/>
          <w:color w:val="222222"/>
          <w:sz w:val="19"/>
        </w:rPr>
        <w:t xml:space="preserve"> Solution Mapping &amp; Business Unit Pitching</w:t>
      </w:r>
    </w:p>
    <w:p>
      <w:pPr>
        <w:pStyle w:val="ListBullet"/>
        <w:spacing w:after="40" w:line="276" w:lineRule="auto"/>
      </w:pPr>
      <w:r>
        <w:rPr>
          <w:rFonts w:ascii="Calibri" w:hAnsi="Calibri" w:eastAsia="Calibri"/>
          <w:b/>
          <w:i w:val="0"/>
          <w:color w:val="222222"/>
          <w:sz w:val="19"/>
        </w:rPr>
        <w:t>Target Audience:</w:t>
      </w:r>
      <w:r>
        <w:rPr>
          <w:rFonts w:ascii="Calibri" w:hAnsi="Calibri" w:eastAsia="Calibri"/>
          <w:b w:val="0"/>
          <w:i w:val="0"/>
          <w:color w:val="222222"/>
          <w:sz w:val="19"/>
        </w:rPr>
        <w:t xml:space="preserve"> Head of Retail Banking, Head of Consumer Credit, Head of Cards</w:t>
      </w:r>
    </w:p>
    <w:p>
      <w:pPr>
        <w:pStyle w:val="ListBullet"/>
        <w:spacing w:after="40" w:line="276" w:lineRule="auto"/>
      </w:pPr>
      <w:r>
        <w:rPr>
          <w:rFonts w:ascii="Calibri" w:hAnsi="Calibri" w:eastAsia="Calibri"/>
          <w:b/>
          <w:i w:val="0"/>
          <w:color w:val="222222"/>
          <w:sz w:val="19"/>
        </w:rPr>
        <w:t>Operational Purpose:</w:t>
      </w:r>
      <w:r>
        <w:rPr>
          <w:rFonts w:ascii="Calibri" w:hAnsi="Calibri" w:eastAsia="Calibri"/>
          <w:b w:val="0"/>
          <w:i w:val="0"/>
          <w:color w:val="222222"/>
          <w:sz w:val="19"/>
        </w:rPr>
        <w:t xml:space="preserve"> Specialized solution brief detailing ULMS capabilities for retail consumer finance: Personal Loans, Auto Loans, Home Mortgages, Credit Cards, and Salary Advance facilities.</w:t>
      </w:r>
    </w:p>
    <w:p>
      <w:pPr>
        <w:pStyle w:val="ListBullet"/>
        <w:spacing w:after="40" w:line="276" w:lineRule="auto"/>
      </w:pPr>
      <w:r>
        <w:rPr>
          <w:rFonts w:ascii="Calibri" w:hAnsi="Calibri" w:eastAsia="Calibri"/>
          <w:b/>
          <w:i w:val="0"/>
          <w:color w:val="222222"/>
          <w:sz w:val="19"/>
        </w:rPr>
        <w:t>Detailed Table of Contents:</w:t>
      </w:r>
    </w:p>
    <w:p>
      <w:pPr>
        <w:spacing w:after="80" w:line="276" w:lineRule="auto"/>
      </w:pPr>
      <w:r>
        <w:rPr>
          <w:rFonts w:ascii="Calibri" w:hAnsi="Calibri" w:eastAsia="Calibri"/>
          <w:b w:val="0"/>
          <w:i w:val="0"/>
          <w:color w:val="222222"/>
          <w:sz w:val="19"/>
        </w:rPr>
        <w:t>1. Market Opportunity: Consumer Credit Expansion in Urban and Semi-Urban Bangladesh</w:t>
      </w:r>
    </w:p>
    <w:p>
      <w:pPr>
        <w:spacing w:after="80" w:line="276" w:lineRule="auto"/>
      </w:pPr>
      <w:r>
        <w:rPr>
          <w:rFonts w:ascii="Calibri" w:hAnsi="Calibri" w:eastAsia="Calibri"/>
          <w:b w:val="0"/>
          <w:i w:val="0"/>
          <w:color w:val="222222"/>
          <w:sz w:val="19"/>
        </w:rPr>
        <w:t>2. Key Retail Pain Points: Long Verification Delays, Manual Salary Slip Verification, High Customer Drop-off</w:t>
      </w:r>
    </w:p>
    <w:p>
      <w:pPr>
        <w:spacing w:after="80" w:line="276" w:lineRule="auto"/>
      </w:pPr>
      <w:r>
        <w:rPr>
          <w:rFonts w:ascii="Calibri" w:hAnsi="Calibri" w:eastAsia="Calibri"/>
          <w:b w:val="0"/>
          <w:i w:val="0"/>
          <w:color w:val="222222"/>
          <w:sz w:val="19"/>
        </w:rPr>
        <w:t>3. ULMS Retail Architecture: Omni-Channel Ingestion (Web, Branch, Mobile App, Partner Rails)</w:t>
      </w:r>
    </w:p>
    <w:p>
      <w:pPr>
        <w:spacing w:after="80" w:line="276" w:lineRule="auto"/>
      </w:pPr>
      <w:r>
        <w:rPr>
          <w:rFonts w:ascii="Calibri" w:hAnsi="Calibri" w:eastAsia="Calibri"/>
          <w:b w:val="0"/>
          <w:i w:val="0"/>
          <w:color w:val="222222"/>
          <w:sz w:val="19"/>
        </w:rPr>
        <w:t>4. Automated Underwriting Engine: Instant DBR Calculation, NIDW Biometrics, Real-Time CIB Deduplication</w:t>
      </w:r>
    </w:p>
    <w:p>
      <w:pPr>
        <w:spacing w:after="80" w:line="276" w:lineRule="auto"/>
      </w:pPr>
      <w:r>
        <w:rPr>
          <w:rFonts w:ascii="Calibri" w:hAnsi="Calibri" w:eastAsia="Calibri"/>
          <w:b w:val="0"/>
          <w:i w:val="0"/>
          <w:color w:val="222222"/>
          <w:sz w:val="19"/>
        </w:rPr>
        <w:t>5. Product Specializations:</w:t>
      </w:r>
    </w:p>
    <w:p>
      <w:pPr>
        <w:pStyle w:val="ListBullet"/>
        <w:spacing w:after="40" w:line="276" w:lineRule="auto"/>
        <w:ind w:left="680"/>
      </w:pPr>
      <w:r>
        <w:rPr>
          <w:rFonts w:ascii="Calibri" w:hAnsi="Calibri" w:eastAsia="Calibri"/>
          <w:b w:val="0"/>
          <w:i w:val="0"/>
          <w:color w:val="222222"/>
          <w:sz w:val="19"/>
        </w:rPr>
        <w:t>Unsecured Personal Loans (Instant Decisioning)</w:t>
      </w:r>
    </w:p>
    <w:p>
      <w:pPr>
        <w:pStyle w:val="ListBullet"/>
        <w:spacing w:after="40" w:line="276" w:lineRule="auto"/>
        <w:ind w:left="680"/>
      </w:pPr>
      <w:r>
        <w:rPr>
          <w:rFonts w:ascii="Calibri" w:hAnsi="Calibri" w:eastAsia="Calibri"/>
          <w:b w:val="0"/>
          <w:i w:val="0"/>
          <w:color w:val="222222"/>
          <w:sz w:val="19"/>
        </w:rPr>
        <w:t>Auto Loans (Dealer Invoicing &amp; Asset Lien Tracking)</w:t>
      </w:r>
    </w:p>
    <w:p>
      <w:pPr>
        <w:pStyle w:val="ListBullet"/>
        <w:spacing w:after="40" w:line="276" w:lineRule="auto"/>
        <w:ind w:left="680"/>
      </w:pPr>
      <w:r>
        <w:rPr>
          <w:rFonts w:ascii="Calibri" w:hAnsi="Calibri" w:eastAsia="Calibri"/>
          <w:b w:val="0"/>
          <w:i w:val="0"/>
          <w:color w:val="222222"/>
          <w:sz w:val="19"/>
        </w:rPr>
        <w:t>Home Mortgages (Multi-Stage Construction Disbursements &amp; Legal Title Search)</w:t>
      </w:r>
    </w:p>
    <w:p>
      <w:pPr>
        <w:pStyle w:val="ListBullet"/>
        <w:spacing w:after="40" w:line="276" w:lineRule="auto"/>
        <w:ind w:left="680"/>
      </w:pPr>
      <w:r>
        <w:rPr>
          <w:rFonts w:ascii="Calibri" w:hAnsi="Calibri" w:eastAsia="Calibri"/>
          <w:b w:val="0"/>
          <w:i w:val="0"/>
          <w:color w:val="222222"/>
          <w:sz w:val="19"/>
        </w:rPr>
        <w:t>Credit Card Origination (Score-Based Limit Assignment)</w:t>
      </w:r>
    </w:p>
    <w:p>
      <w:pPr>
        <w:spacing w:after="80" w:line="276" w:lineRule="auto"/>
      </w:pPr>
      <w:r>
        <w:rPr>
          <w:rFonts w:ascii="Calibri" w:hAnsi="Calibri" w:eastAsia="Calibri"/>
          <w:b w:val="0"/>
          <w:i w:val="0"/>
          <w:color w:val="222222"/>
          <w:sz w:val="19"/>
        </w:rPr>
        <w:t>6. Servicing &amp; Repayment: Standing Instructions, BEFTN/NPSB Integration, bKash Auto-Debit</w:t>
      </w:r>
    </w:p>
    <w:p>
      <w:pPr>
        <w:spacing w:after="80" w:line="276" w:lineRule="auto"/>
      </w:pPr>
      <w:r>
        <w:rPr>
          <w:rFonts w:ascii="Calibri" w:hAnsi="Calibri" w:eastAsia="Calibri"/>
          <w:b w:val="0"/>
          <w:i w:val="0"/>
          <w:color w:val="222222"/>
          <w:sz w:val="19"/>
        </w:rPr>
        <w:t>7. Quantified Business Impact: 80% Faster Approvals, 40% Increase in Completed Retail Applications</w:t>
      </w:r>
    </w:p>
    <w:p>
      <w:pPr>
        <w:pStyle w:val="ListBullet"/>
        <w:spacing w:after="40" w:line="276" w:lineRule="auto"/>
      </w:pPr>
      <w:r>
        <w:rPr>
          <w:rFonts w:ascii="Calibri" w:hAnsi="Calibri" w:eastAsia="Calibri"/>
          <w:b/>
          <w:i w:val="0"/>
          <w:color w:val="222222"/>
          <w:sz w:val="19"/>
        </w:rPr>
        <w:t>Core Value Proposition:</w:t>
      </w:r>
      <w:r>
        <w:rPr>
          <w:rFonts w:ascii="Calibri" w:hAnsi="Calibri" w:eastAsia="Calibri"/>
          <w:b w:val="0"/>
          <w:i w:val="0"/>
          <w:color w:val="222222"/>
          <w:sz w:val="19"/>
        </w:rPr>
        <w:t xml:space="preserve"> Demonstrate how ULMS transforms consumer lending into an agile, instant-response digital operation that attracts modern retail borrowers.</w:t>
      </w:r>
    </w:p>
    <w:p>
      <w:pPr>
        <w:pStyle w:val="ListBullet"/>
        <w:spacing w:after="40" w:line="276" w:lineRule="auto"/>
      </w:pPr>
      <w:r>
        <w:rPr>
          <w:rFonts w:ascii="Calibri" w:hAnsi="Calibri" w:eastAsia="Calibri"/>
          <w:b/>
          <w:i w:val="0"/>
          <w:color w:val="222222"/>
          <w:sz w:val="19"/>
        </w:rPr>
        <w:t>Required Inputs &amp; Exhibits:</w:t>
      </w:r>
      <w:r>
        <w:rPr>
          <w:rFonts w:ascii="Calibri" w:hAnsi="Calibri" w:eastAsia="Calibri"/>
          <w:b w:val="0"/>
          <w:i w:val="0"/>
          <w:color w:val="222222"/>
          <w:sz w:val="19"/>
        </w:rPr>
        <w:t xml:space="preserve"> Retail loan origination flow diagram, DBR calculation model exhibit.</w:t>
      </w:r>
    </w:p>
    <w:p>
      <w:pPr>
        <w:pStyle w:val="ListBullet"/>
        <w:spacing w:after="40" w:line="276" w:lineRule="auto"/>
      </w:pPr>
      <w:r>
        <w:rPr>
          <w:rFonts w:ascii="Calibri" w:hAnsi="Calibri" w:eastAsia="Calibri"/>
          <w:b/>
          <w:i w:val="0"/>
          <w:color w:val="222222"/>
          <w:sz w:val="19"/>
        </w:rPr>
        <w:t>Maintenance Owner:</w:t>
      </w:r>
      <w:r>
        <w:rPr>
          <w:rFonts w:ascii="Calibri" w:hAnsi="Calibri" w:eastAsia="Calibri"/>
          <w:b w:val="0"/>
          <w:i w:val="0"/>
          <w:color w:val="222222"/>
          <w:sz w:val="19"/>
        </w:rPr>
        <w:t xml:space="preserve"> Retail Banking Product Specialist.</w:t>
      </w:r>
    </w:p>
    <w:p>
      <w:pPr>
        <w:keepNext/>
        <w:spacing w:before="160" w:after="40"/>
      </w:pPr>
      <w:r>
        <w:rPr>
          <w:rFonts w:ascii="Calibri" w:hAnsi="Calibri" w:eastAsia="Calibri"/>
          <w:b/>
          <w:i w:val="0"/>
          <w:color w:val="1E2660"/>
          <w:sz w:val="20"/>
        </w:rPr>
        <w:t>DOC-19: Segment Solution Brief: MSME &amp; Agri Supply-Chain Financing</w:t>
      </w:r>
    </w:p>
    <w:p>
      <w:pPr>
        <w:pStyle w:val="ListBullet"/>
        <w:spacing w:after="40" w:line="276" w:lineRule="auto"/>
      </w:pPr>
      <w:r>
        <w:rPr>
          <w:rFonts w:ascii="Calibri" w:hAnsi="Calibri" w:eastAsia="Calibri"/>
          <w:b/>
          <w:i w:val="0"/>
          <w:color w:val="222222"/>
          <w:sz w:val="19"/>
        </w:rPr>
        <w:t>Target File Path:</w:t>
      </w:r>
      <w:r>
        <w:rPr>
          <w:rFonts w:ascii="Calibri" w:hAnsi="Calibri" w:eastAsia="Calibri"/>
          <w:b w:val="0"/>
          <w:i w:val="0"/>
          <w:color w:val="222222"/>
          <w:sz w:val="19"/>
        </w:rPr>
        <w:t xml:space="preserve"> </w:t>
      </w:r>
      <w:r>
        <w:rPr>
          <w:rFonts w:ascii="Consolas" w:hAnsi="Consolas" w:eastAsia="Consolas"/>
          <w:b w:val="0"/>
          <w:i w:val="0"/>
          <w:color w:val="8B0000"/>
          <w:sz w:val="18"/>
        </w:rPr>
        <w:t>business_document/03_demos_and_solutions/DOC-19_Solution_Brief_MSME_Agri.md</w:t>
      </w:r>
    </w:p>
    <w:p>
      <w:pPr>
        <w:pStyle w:val="ListBullet"/>
        <w:spacing w:after="40" w:line="276" w:lineRule="auto"/>
      </w:pPr>
      <w:r>
        <w:rPr>
          <w:rFonts w:ascii="Calibri" w:hAnsi="Calibri" w:eastAsia="Calibri"/>
          <w:b/>
          <w:i w:val="0"/>
          <w:color w:val="222222"/>
          <w:sz w:val="19"/>
        </w:rPr>
        <w:t>Lifecycle Phase:</w:t>
      </w:r>
      <w:r>
        <w:rPr>
          <w:rFonts w:ascii="Calibri" w:hAnsi="Calibri" w:eastAsia="Calibri"/>
          <w:b w:val="0"/>
          <w:i w:val="0"/>
          <w:color w:val="222222"/>
          <w:sz w:val="19"/>
        </w:rPr>
        <w:t xml:space="preserve"> Solution Mapping &amp; Business Unit Pitching</w:t>
      </w:r>
    </w:p>
    <w:p>
      <w:pPr>
        <w:pStyle w:val="ListBullet"/>
        <w:spacing w:after="40" w:line="276" w:lineRule="auto"/>
      </w:pPr>
      <w:r>
        <w:rPr>
          <w:rFonts w:ascii="Calibri" w:hAnsi="Calibri" w:eastAsia="Calibri"/>
          <w:b/>
          <w:i w:val="0"/>
          <w:color w:val="222222"/>
          <w:sz w:val="19"/>
        </w:rPr>
        <w:t>Target Audience:</w:t>
      </w:r>
      <w:r>
        <w:rPr>
          <w:rFonts w:ascii="Calibri" w:hAnsi="Calibri" w:eastAsia="Calibri"/>
          <w:b w:val="0"/>
          <w:i w:val="0"/>
          <w:color w:val="222222"/>
          <w:sz w:val="19"/>
        </w:rPr>
        <w:t xml:space="preserve"> Head of SME Banking, Head of Agricultural Credit, Head of Micro-Finance</w:t>
      </w:r>
    </w:p>
    <w:p>
      <w:pPr>
        <w:pStyle w:val="ListBullet"/>
        <w:spacing w:after="40" w:line="276" w:lineRule="auto"/>
      </w:pPr>
      <w:r>
        <w:rPr>
          <w:rFonts w:ascii="Calibri" w:hAnsi="Calibri" w:eastAsia="Calibri"/>
          <w:b/>
          <w:i w:val="0"/>
          <w:color w:val="222222"/>
          <w:sz w:val="19"/>
        </w:rPr>
        <w:t>Operational Purpose:</w:t>
      </w:r>
      <w:r>
        <w:rPr>
          <w:rFonts w:ascii="Calibri" w:hAnsi="Calibri" w:eastAsia="Calibri"/>
          <w:b w:val="0"/>
          <w:i w:val="0"/>
          <w:color w:val="222222"/>
          <w:sz w:val="19"/>
        </w:rPr>
        <w:t xml:space="preserve"> Specialized solution brief addressing the high-volume, documentation-intensive challenges of MSME financing, seasonal agricultural credit, and supply-chain factoring.</w:t>
      </w:r>
    </w:p>
    <w:p>
      <w:pPr>
        <w:pStyle w:val="ListBullet"/>
        <w:spacing w:after="40" w:line="276" w:lineRule="auto"/>
      </w:pPr>
      <w:r>
        <w:rPr>
          <w:rFonts w:ascii="Calibri" w:hAnsi="Calibri" w:eastAsia="Calibri"/>
          <w:b/>
          <w:i w:val="0"/>
          <w:color w:val="222222"/>
          <w:sz w:val="19"/>
        </w:rPr>
        <w:t>Detailed Table of Contents:</w:t>
      </w:r>
    </w:p>
    <w:p>
      <w:pPr>
        <w:spacing w:after="80" w:line="276" w:lineRule="auto"/>
      </w:pPr>
      <w:r>
        <w:rPr>
          <w:rFonts w:ascii="Calibri" w:hAnsi="Calibri" w:eastAsia="Calibri"/>
          <w:b w:val="0"/>
          <w:i w:val="0"/>
          <w:color w:val="222222"/>
          <w:sz w:val="19"/>
        </w:rPr>
        <w:t>1. The MSME Frontier: The Largest Engine of Economic Growth in Bangladesh</w:t>
      </w:r>
    </w:p>
    <w:p>
      <w:pPr>
        <w:spacing w:after="80" w:line="276" w:lineRule="auto"/>
      </w:pPr>
      <w:r>
        <w:rPr>
          <w:rFonts w:ascii="Calibri" w:hAnsi="Calibri" w:eastAsia="Calibri"/>
          <w:b w:val="0"/>
          <w:i w:val="0"/>
          <w:color w:val="222222"/>
          <w:sz w:val="19"/>
        </w:rPr>
        <w:t>2. The Core Problem: Lack of Audited Financials, Informal Cash Flows, High Branch Underwriting Costs</w:t>
      </w:r>
    </w:p>
    <w:p>
      <w:pPr>
        <w:spacing w:after="80" w:line="276" w:lineRule="auto"/>
      </w:pPr>
      <w:r>
        <w:rPr>
          <w:rFonts w:ascii="Calibri" w:hAnsi="Calibri" w:eastAsia="Calibri"/>
          <w:b w:val="0"/>
          <w:i w:val="0"/>
          <w:color w:val="222222"/>
          <w:sz w:val="19"/>
        </w:rPr>
        <w:t>3. The ULMS MSME Framework: Cash Flow-Based Underwriting &amp; Proxy Financial Modeling</w:t>
      </w:r>
    </w:p>
    <w:p>
      <w:pPr>
        <w:spacing w:after="80" w:line="276" w:lineRule="auto"/>
      </w:pPr>
      <w:r>
        <w:rPr>
          <w:rFonts w:ascii="Calibri" w:hAnsi="Calibri" w:eastAsia="Calibri"/>
          <w:b w:val="0"/>
          <w:i w:val="0"/>
          <w:color w:val="222222"/>
          <w:sz w:val="19"/>
        </w:rPr>
        <w:t>4. Field Officer Enablement: Offline Mobile Application with Geo-Tagged Business Verification &amp; Photo Capture</w:t>
      </w:r>
    </w:p>
    <w:p>
      <w:pPr>
        <w:spacing w:after="80" w:line="276" w:lineRule="auto"/>
      </w:pPr>
      <w:r>
        <w:rPr>
          <w:rFonts w:ascii="Calibri" w:hAnsi="Calibri" w:eastAsia="Calibri"/>
          <w:b w:val="0"/>
          <w:i w:val="0"/>
          <w:color w:val="222222"/>
          <w:sz w:val="19"/>
        </w:rPr>
        <w:t>5. Specialized Financing Modules:</w:t>
      </w:r>
    </w:p>
    <w:p>
      <w:pPr>
        <w:pStyle w:val="ListBullet"/>
        <w:spacing w:after="40" w:line="276" w:lineRule="auto"/>
        <w:ind w:left="680"/>
      </w:pPr>
      <w:r>
        <w:rPr>
          <w:rFonts w:ascii="Calibri" w:hAnsi="Calibri" w:eastAsia="Calibri"/>
          <w:b w:val="0"/>
          <w:i w:val="0"/>
          <w:color w:val="222222"/>
          <w:sz w:val="19"/>
        </w:rPr>
        <w:t>Revolving Working Capital &amp; Overdraft Limits</w:t>
      </w:r>
    </w:p>
    <w:p>
      <w:pPr>
        <w:pStyle w:val="ListBullet"/>
        <w:spacing w:after="40" w:line="276" w:lineRule="auto"/>
        <w:ind w:left="680"/>
      </w:pPr>
      <w:r>
        <w:rPr>
          <w:rFonts w:ascii="Calibri" w:hAnsi="Calibri" w:eastAsia="Calibri"/>
          <w:b w:val="0"/>
          <w:i w:val="0"/>
          <w:color w:val="222222"/>
          <w:sz w:val="19"/>
        </w:rPr>
        <w:t>Invoice Factoring &amp; Reverse Factoring (Supply-Chain Finance)</w:t>
      </w:r>
    </w:p>
    <w:p>
      <w:pPr>
        <w:pStyle w:val="ListBullet"/>
        <w:spacing w:after="40" w:line="276" w:lineRule="auto"/>
        <w:ind w:left="680"/>
      </w:pPr>
      <w:r>
        <w:rPr>
          <w:rFonts w:ascii="Calibri" w:hAnsi="Calibri" w:eastAsia="Calibri"/>
          <w:b w:val="0"/>
          <w:i w:val="0"/>
          <w:color w:val="222222"/>
          <w:sz w:val="19"/>
        </w:rPr>
        <w:t>Seasonal Agri Loans (Balloon Payments &amp; Harvest-Linked Bullet Repayments)</w:t>
      </w:r>
    </w:p>
    <w:p>
      <w:pPr>
        <w:pStyle w:val="ListBullet"/>
        <w:spacing w:after="40" w:line="276" w:lineRule="auto"/>
        <w:ind w:left="680"/>
      </w:pPr>
      <w:r>
        <w:rPr>
          <w:rFonts w:ascii="Calibri" w:hAnsi="Calibri" w:eastAsia="Calibri"/>
          <w:b w:val="0"/>
          <w:i w:val="0"/>
          <w:color w:val="222222"/>
          <w:sz w:val="19"/>
        </w:rPr>
        <w:t>Cottage &amp; Micro-Enterprise Credit</w:t>
      </w:r>
    </w:p>
    <w:p>
      <w:pPr>
        <w:spacing w:after="80" w:line="276" w:lineRule="auto"/>
      </w:pPr>
      <w:r>
        <w:rPr>
          <w:rFonts w:ascii="Calibri" w:hAnsi="Calibri" w:eastAsia="Calibri"/>
          <w:b w:val="0"/>
          <w:i w:val="0"/>
          <w:color w:val="222222"/>
          <w:sz w:val="19"/>
        </w:rPr>
        <w:t>6. Collateral Management: Immovable Property Liens, Stock/Inventory Hypothecation, Personal Guarantees</w:t>
      </w:r>
    </w:p>
    <w:p>
      <w:pPr>
        <w:spacing w:after="80" w:line="276" w:lineRule="auto"/>
      </w:pPr>
      <w:r>
        <w:rPr>
          <w:rFonts w:ascii="Calibri" w:hAnsi="Calibri" w:eastAsia="Calibri"/>
          <w:b w:val="0"/>
          <w:i w:val="0"/>
          <w:color w:val="222222"/>
          <w:sz w:val="19"/>
        </w:rPr>
        <w:t>7. Impact Case Study: Scaling an SME Portfolio by 3x Without Expanding Branch Headcount</w:t>
      </w:r>
    </w:p>
    <w:p>
      <w:pPr>
        <w:pStyle w:val="ListBullet"/>
        <w:spacing w:after="40" w:line="276" w:lineRule="auto"/>
      </w:pPr>
      <w:r>
        <w:rPr>
          <w:rFonts w:ascii="Calibri" w:hAnsi="Calibri" w:eastAsia="Calibri"/>
          <w:b/>
          <w:i w:val="0"/>
          <w:color w:val="222222"/>
          <w:sz w:val="19"/>
        </w:rPr>
        <w:t>Core Value Proposition:</w:t>
      </w:r>
      <w:r>
        <w:rPr>
          <w:rFonts w:ascii="Calibri" w:hAnsi="Calibri" w:eastAsia="Calibri"/>
          <w:b w:val="0"/>
          <w:i w:val="0"/>
          <w:color w:val="222222"/>
          <w:sz w:val="19"/>
        </w:rPr>
        <w:t xml:space="preserve"> Provide banks with the tools to penetrate the lucrative MSME market profitably with low risk and automated field controls.</w:t>
      </w:r>
    </w:p>
    <w:p>
      <w:pPr>
        <w:pStyle w:val="ListBullet"/>
        <w:spacing w:after="40" w:line="276" w:lineRule="auto"/>
      </w:pPr>
      <w:r>
        <w:rPr>
          <w:rFonts w:ascii="Calibri" w:hAnsi="Calibri" w:eastAsia="Calibri"/>
          <w:b/>
          <w:i w:val="0"/>
          <w:color w:val="222222"/>
          <w:sz w:val="19"/>
        </w:rPr>
        <w:t>Required Inputs &amp; Exhibits:</w:t>
      </w:r>
      <w:r>
        <w:rPr>
          <w:rFonts w:ascii="Calibri" w:hAnsi="Calibri" w:eastAsia="Calibri"/>
          <w:b w:val="0"/>
          <w:i w:val="0"/>
          <w:color w:val="222222"/>
          <w:sz w:val="19"/>
        </w:rPr>
        <w:t xml:space="preserve"> Mobile field verification flow, cash flow underwriting scoring engine.</w:t>
      </w:r>
    </w:p>
    <w:p>
      <w:pPr>
        <w:pStyle w:val="ListBullet"/>
        <w:spacing w:after="40" w:line="276" w:lineRule="auto"/>
      </w:pPr>
      <w:r>
        <w:rPr>
          <w:rFonts w:ascii="Calibri" w:hAnsi="Calibri" w:eastAsia="Calibri"/>
          <w:b/>
          <w:i w:val="0"/>
          <w:color w:val="222222"/>
          <w:sz w:val="19"/>
        </w:rPr>
        <w:t>Maintenance Owner:</w:t>
      </w:r>
      <w:r>
        <w:rPr>
          <w:rFonts w:ascii="Calibri" w:hAnsi="Calibri" w:eastAsia="Calibri"/>
          <w:b w:val="0"/>
          <w:i w:val="0"/>
          <w:color w:val="222222"/>
          <w:sz w:val="19"/>
        </w:rPr>
        <w:t xml:space="preserve"> SME Banking Solutions Lead.</w:t>
      </w:r>
    </w:p>
    <w:p>
      <w:pPr>
        <w:keepNext/>
        <w:spacing w:before="160" w:after="40"/>
      </w:pPr>
      <w:r>
        <w:rPr>
          <w:rFonts w:ascii="Calibri" w:hAnsi="Calibri" w:eastAsia="Calibri"/>
          <w:b/>
          <w:i w:val="0"/>
          <w:color w:val="1E2660"/>
          <w:sz w:val="20"/>
        </w:rPr>
        <w:t>DOC-20: Segment Solution Brief: Islamic Shariah-Compliant Financing</w:t>
      </w:r>
    </w:p>
    <w:p>
      <w:pPr>
        <w:pStyle w:val="ListBullet"/>
        <w:spacing w:after="40" w:line="276" w:lineRule="auto"/>
      </w:pPr>
      <w:r>
        <w:rPr>
          <w:rFonts w:ascii="Calibri" w:hAnsi="Calibri" w:eastAsia="Calibri"/>
          <w:b/>
          <w:i w:val="0"/>
          <w:color w:val="222222"/>
          <w:sz w:val="19"/>
        </w:rPr>
        <w:t>Target File Path:</w:t>
      </w:r>
      <w:r>
        <w:rPr>
          <w:rFonts w:ascii="Calibri" w:hAnsi="Calibri" w:eastAsia="Calibri"/>
          <w:b w:val="0"/>
          <w:i w:val="0"/>
          <w:color w:val="222222"/>
          <w:sz w:val="19"/>
        </w:rPr>
        <w:t xml:space="preserve"> </w:t>
      </w:r>
      <w:r>
        <w:rPr>
          <w:rFonts w:ascii="Consolas" w:hAnsi="Consolas" w:eastAsia="Consolas"/>
          <w:b w:val="0"/>
          <w:i w:val="0"/>
          <w:color w:val="8B0000"/>
          <w:sz w:val="18"/>
        </w:rPr>
        <w:t>business_document/03_demos_and_solutions/DOC-20_Solution_Brief_Islamic.md</w:t>
      </w:r>
    </w:p>
    <w:p>
      <w:pPr>
        <w:pStyle w:val="ListBullet"/>
        <w:spacing w:after="40" w:line="276" w:lineRule="auto"/>
      </w:pPr>
      <w:r>
        <w:rPr>
          <w:rFonts w:ascii="Calibri" w:hAnsi="Calibri" w:eastAsia="Calibri"/>
          <w:b/>
          <w:i w:val="0"/>
          <w:color w:val="222222"/>
          <w:sz w:val="19"/>
        </w:rPr>
        <w:t>Lifecycle Phase:</w:t>
      </w:r>
      <w:r>
        <w:rPr>
          <w:rFonts w:ascii="Calibri" w:hAnsi="Calibri" w:eastAsia="Calibri"/>
          <w:b w:val="0"/>
          <w:i w:val="0"/>
          <w:color w:val="222222"/>
          <w:sz w:val="19"/>
        </w:rPr>
        <w:t xml:space="preserve"> Solution Mapping &amp; Islamic Banking Pitching</w:t>
      </w:r>
    </w:p>
    <w:p>
      <w:pPr>
        <w:pStyle w:val="ListBullet"/>
        <w:spacing w:after="40" w:line="276" w:lineRule="auto"/>
      </w:pPr>
      <w:r>
        <w:rPr>
          <w:rFonts w:ascii="Calibri" w:hAnsi="Calibri" w:eastAsia="Calibri"/>
          <w:b/>
          <w:i w:val="0"/>
          <w:color w:val="222222"/>
          <w:sz w:val="19"/>
        </w:rPr>
        <w:t>Target Audience:</w:t>
      </w:r>
      <w:r>
        <w:rPr>
          <w:rFonts w:ascii="Calibri" w:hAnsi="Calibri" w:eastAsia="Calibri"/>
          <w:b w:val="0"/>
          <w:i w:val="0"/>
          <w:color w:val="222222"/>
          <w:sz w:val="19"/>
        </w:rPr>
        <w:t xml:space="preserve"> Heads of Islamic Banking, Shariah Supervisory Board Members, Managing Directors of Islamic Banks</w:t>
      </w:r>
    </w:p>
    <w:p>
      <w:pPr>
        <w:pStyle w:val="ListBullet"/>
        <w:spacing w:after="40" w:line="276" w:lineRule="auto"/>
      </w:pPr>
      <w:r>
        <w:rPr>
          <w:rFonts w:ascii="Calibri" w:hAnsi="Calibri" w:eastAsia="Calibri"/>
          <w:b/>
          <w:i w:val="0"/>
          <w:color w:val="222222"/>
          <w:sz w:val="19"/>
        </w:rPr>
        <w:t>Operational Purpose:</w:t>
      </w:r>
      <w:r>
        <w:rPr>
          <w:rFonts w:ascii="Calibri" w:hAnsi="Calibri" w:eastAsia="Calibri"/>
          <w:b w:val="0"/>
          <w:i w:val="0"/>
          <w:color w:val="222222"/>
          <w:sz w:val="19"/>
        </w:rPr>
        <w:t xml:space="preserve"> Dedicated technical and commercial document detailing ULMS’s Shariah-compliant lending engine designed specifically for the 10 full-fledged Islamic banks and 30+ Islamic banking windows in Bangladesh.</w:t>
      </w:r>
    </w:p>
    <w:p>
      <w:pPr>
        <w:pStyle w:val="ListBullet"/>
        <w:spacing w:after="40" w:line="276" w:lineRule="auto"/>
      </w:pPr>
      <w:r>
        <w:rPr>
          <w:rFonts w:ascii="Calibri" w:hAnsi="Calibri" w:eastAsia="Calibri"/>
          <w:b/>
          <w:i w:val="0"/>
          <w:color w:val="222222"/>
          <w:sz w:val="19"/>
        </w:rPr>
        <w:t>Detailed Table of Contents:</w:t>
      </w:r>
    </w:p>
    <w:p>
      <w:pPr>
        <w:spacing w:after="80" w:line="276" w:lineRule="auto"/>
      </w:pPr>
      <w:r>
        <w:rPr>
          <w:rFonts w:ascii="Calibri" w:hAnsi="Calibri" w:eastAsia="Calibri"/>
          <w:b w:val="0"/>
          <w:i w:val="0"/>
          <w:color w:val="222222"/>
          <w:sz w:val="19"/>
        </w:rPr>
        <w:t>1. The Booming Islamic Banking Sector in Bangladesh (~25% of Total National Banking Assets)</w:t>
      </w:r>
    </w:p>
    <w:p>
      <w:pPr>
        <w:spacing w:after="80" w:line="276" w:lineRule="auto"/>
      </w:pPr>
      <w:r>
        <w:rPr>
          <w:rFonts w:ascii="Calibri" w:hAnsi="Calibri" w:eastAsia="Calibri"/>
          <w:b w:val="0"/>
          <w:i w:val="0"/>
          <w:color w:val="222222"/>
          <w:sz w:val="19"/>
        </w:rPr>
        <w:t>2. The Shariah Dilemma: The Trap of Forcing Islamic Accounting into Conventional Loan Software</w:t>
      </w:r>
    </w:p>
    <w:p>
      <w:pPr>
        <w:spacing w:after="80" w:line="276" w:lineRule="auto"/>
      </w:pPr>
      <w:r>
        <w:rPr>
          <w:rFonts w:ascii="Calibri" w:hAnsi="Calibri" w:eastAsia="Calibri"/>
          <w:b w:val="0"/>
          <w:i w:val="0"/>
          <w:color w:val="222222"/>
          <w:sz w:val="19"/>
        </w:rPr>
        <w:t>3. The ULMS Shariah Architecture: Segregated Ledgers, Asset-Backed Workflows, Zero Compound Interest</w:t>
      </w:r>
    </w:p>
    <w:p>
      <w:pPr>
        <w:spacing w:after="80" w:line="276" w:lineRule="auto"/>
      </w:pPr>
      <w:r>
        <w:rPr>
          <w:rFonts w:ascii="Calibri" w:hAnsi="Calibri" w:eastAsia="Calibri"/>
          <w:b w:val="0"/>
          <w:i w:val="0"/>
          <w:color w:val="222222"/>
          <w:sz w:val="19"/>
        </w:rPr>
        <w:t>4. Supported Islamic Financing Modes:</w:t>
      </w:r>
    </w:p>
    <w:p>
      <w:pPr>
        <w:pStyle w:val="ListBullet"/>
        <w:spacing w:after="40" w:line="276" w:lineRule="auto"/>
        <w:ind w:left="680"/>
      </w:pPr>
      <w:r>
        <w:rPr>
          <w:rFonts w:ascii="Calibri" w:hAnsi="Calibri" w:eastAsia="Calibri"/>
          <w:b w:val="0"/>
          <w:i w:val="0"/>
          <w:color w:val="222222"/>
          <w:sz w:val="19"/>
        </w:rPr>
        <w:t>Murabaha (Cost-Plus Sale: Goods Procurement, Title Transfer, Deferred Payment)</w:t>
      </w:r>
    </w:p>
    <w:p>
      <w:pPr>
        <w:pStyle w:val="ListBullet"/>
        <w:spacing w:after="40" w:line="276" w:lineRule="auto"/>
        <w:ind w:left="680"/>
      </w:pPr>
      <w:r>
        <w:rPr>
          <w:rFonts w:ascii="Calibri" w:hAnsi="Calibri" w:eastAsia="Calibri"/>
          <w:b w:val="0"/>
          <w:i w:val="0"/>
          <w:color w:val="222222"/>
          <w:sz w:val="19"/>
        </w:rPr>
        <w:t>Ijara (Leasing: Asset Ownership Retention, Periodic Rentals, Transfer of Ownership)</w:t>
      </w:r>
    </w:p>
    <w:p>
      <w:pPr>
        <w:pStyle w:val="ListBullet"/>
        <w:spacing w:after="40" w:line="276" w:lineRule="auto"/>
        <w:ind w:left="680"/>
      </w:pPr>
      <w:r>
        <w:rPr>
          <w:rFonts w:ascii="Calibri" w:hAnsi="Calibri" w:eastAsia="Calibri"/>
          <w:b w:val="0"/>
          <w:i w:val="0"/>
          <w:color w:val="222222"/>
          <w:sz w:val="19"/>
        </w:rPr>
        <w:t>Diminishing Musharaka (Home &amp; Capital Financing: Joint Ownership, Equity Buyout)</w:t>
      </w:r>
    </w:p>
    <w:p>
      <w:pPr>
        <w:pStyle w:val="ListBullet"/>
        <w:spacing w:after="40" w:line="276" w:lineRule="auto"/>
        <w:ind w:left="680"/>
      </w:pPr>
      <w:r>
        <w:rPr>
          <w:rFonts w:ascii="Calibri" w:hAnsi="Calibri" w:eastAsia="Calibri"/>
          <w:b w:val="0"/>
          <w:i w:val="0"/>
          <w:color w:val="222222"/>
          <w:sz w:val="19"/>
        </w:rPr>
        <w:t>Mudaraba &amp; Musharaka (Profit &amp; Loss Sharing Partnerships)</w:t>
      </w:r>
    </w:p>
    <w:p>
      <w:pPr>
        <w:pStyle w:val="ListBullet"/>
        <w:spacing w:after="40" w:line="276" w:lineRule="auto"/>
        <w:ind w:left="680"/>
      </w:pPr>
      <w:r>
        <w:rPr>
          <w:rFonts w:ascii="Calibri" w:hAnsi="Calibri" w:eastAsia="Calibri"/>
          <w:b w:val="0"/>
          <w:i w:val="0"/>
          <w:color w:val="222222"/>
          <w:sz w:val="19"/>
        </w:rPr>
        <w:t>Bai-Muajjal &amp; Istisna (Working Capital &amp; Pre-Shipment Project Manufacturing)</w:t>
      </w:r>
    </w:p>
    <w:p>
      <w:pPr>
        <w:spacing w:after="80" w:line="276" w:lineRule="auto"/>
      </w:pPr>
      <w:r>
        <w:rPr>
          <w:rFonts w:ascii="Calibri" w:hAnsi="Calibri" w:eastAsia="Calibri"/>
          <w:b w:val="0"/>
          <w:i w:val="0"/>
          <w:color w:val="222222"/>
          <w:sz w:val="19"/>
        </w:rPr>
        <w:t>5. Shariah Governance &amp; Audit Trails: Shariah Supervisory Board Compliance Verification &amp; Certificate Generation</w:t>
      </w:r>
    </w:p>
    <w:p>
      <w:pPr>
        <w:spacing w:after="80" w:line="276" w:lineRule="auto"/>
      </w:pPr>
      <w:r>
        <w:rPr>
          <w:rFonts w:ascii="Calibri" w:hAnsi="Calibri" w:eastAsia="Calibri"/>
          <w:b w:val="0"/>
          <w:i w:val="0"/>
          <w:color w:val="222222"/>
          <w:sz w:val="19"/>
        </w:rPr>
        <w:t>6. Charity &amp; Late Payment Penalty Fund Management (Automated Segregation of Non-Income Late Fees)</w:t>
      </w:r>
    </w:p>
    <w:p>
      <w:pPr>
        <w:spacing w:after="80" w:line="276" w:lineRule="auto"/>
      </w:pPr>
      <w:r>
        <w:rPr>
          <w:rFonts w:ascii="Calibri" w:hAnsi="Calibri" w:eastAsia="Calibri"/>
          <w:b w:val="0"/>
          <w:i w:val="0"/>
          <w:color w:val="222222"/>
          <w:sz w:val="19"/>
        </w:rPr>
        <w:t>7. Endorsement &amp; Certification Strategy by Leading Islamic Banking Scholars</w:t>
      </w:r>
    </w:p>
    <w:p>
      <w:pPr>
        <w:pStyle w:val="ListBullet"/>
        <w:spacing w:after="40" w:line="276" w:lineRule="auto"/>
      </w:pPr>
      <w:r>
        <w:rPr>
          <w:rFonts w:ascii="Calibri" w:hAnsi="Calibri" w:eastAsia="Calibri"/>
          <w:b/>
          <w:i w:val="0"/>
          <w:color w:val="222222"/>
          <w:sz w:val="19"/>
        </w:rPr>
        <w:t>Core Value Proposition:</w:t>
      </w:r>
      <w:r>
        <w:rPr>
          <w:rFonts w:ascii="Calibri" w:hAnsi="Calibri" w:eastAsia="Calibri"/>
          <w:b w:val="0"/>
          <w:i w:val="0"/>
          <w:color w:val="222222"/>
          <w:sz w:val="19"/>
        </w:rPr>
        <w:t xml:space="preserve"> Assure Islamic bank leadership and Shariah scholars that ULMS respects every Shariah tenet natively without theological compromise.</w:t>
      </w:r>
    </w:p>
    <w:p>
      <w:pPr>
        <w:pStyle w:val="ListBullet"/>
        <w:spacing w:after="40" w:line="276" w:lineRule="auto"/>
      </w:pPr>
      <w:r>
        <w:rPr>
          <w:rFonts w:ascii="Calibri" w:hAnsi="Calibri" w:eastAsia="Calibri"/>
          <w:b/>
          <w:i w:val="0"/>
          <w:color w:val="222222"/>
          <w:sz w:val="19"/>
        </w:rPr>
        <w:t>Required Inputs &amp; Exhibits:</w:t>
      </w:r>
      <w:r>
        <w:rPr>
          <w:rFonts w:ascii="Calibri" w:hAnsi="Calibri" w:eastAsia="Calibri"/>
          <w:b w:val="0"/>
          <w:i w:val="0"/>
          <w:color w:val="222222"/>
          <w:sz w:val="19"/>
        </w:rPr>
        <w:t xml:space="preserve"> Murabaha asset ownership transfer diagram, Shariah accounting entry matrix.</w:t>
      </w:r>
    </w:p>
    <w:p>
      <w:pPr>
        <w:pStyle w:val="ListBullet"/>
        <w:spacing w:after="40" w:line="276" w:lineRule="auto"/>
      </w:pPr>
      <w:r>
        <w:rPr>
          <w:rFonts w:ascii="Calibri" w:hAnsi="Calibri" w:eastAsia="Calibri"/>
          <w:b/>
          <w:i w:val="0"/>
          <w:color w:val="222222"/>
          <w:sz w:val="19"/>
        </w:rPr>
        <w:t>Maintenance Owner:</w:t>
      </w:r>
      <w:r>
        <w:rPr>
          <w:rFonts w:ascii="Calibri" w:hAnsi="Calibri" w:eastAsia="Calibri"/>
          <w:b w:val="0"/>
          <w:i w:val="0"/>
          <w:color w:val="222222"/>
          <w:sz w:val="19"/>
        </w:rPr>
        <w:t xml:space="preserve"> Islamic Banking Subject Matter Expert.</w:t>
      </w:r>
    </w:p>
    <w:p>
      <w:pPr>
        <w:keepNext/>
        <w:spacing w:before="160" w:after="40"/>
      </w:pPr>
      <w:r>
        <w:rPr>
          <w:rFonts w:ascii="Calibri" w:hAnsi="Calibri" w:eastAsia="Calibri"/>
          <w:b/>
          <w:i w:val="0"/>
          <w:color w:val="1E2660"/>
          <w:sz w:val="20"/>
        </w:rPr>
        <w:t>DOC-21: Segment Solution Brief: Corporate &amp; Syndicated Loan Management</w:t>
      </w:r>
    </w:p>
    <w:p>
      <w:pPr>
        <w:pStyle w:val="ListBullet"/>
        <w:spacing w:after="40" w:line="276" w:lineRule="auto"/>
      </w:pPr>
      <w:r>
        <w:rPr>
          <w:rFonts w:ascii="Calibri" w:hAnsi="Calibri" w:eastAsia="Calibri"/>
          <w:b/>
          <w:i w:val="0"/>
          <w:color w:val="222222"/>
          <w:sz w:val="19"/>
        </w:rPr>
        <w:t>Target File Path:</w:t>
      </w:r>
      <w:r>
        <w:rPr>
          <w:rFonts w:ascii="Calibri" w:hAnsi="Calibri" w:eastAsia="Calibri"/>
          <w:b w:val="0"/>
          <w:i w:val="0"/>
          <w:color w:val="222222"/>
          <w:sz w:val="19"/>
        </w:rPr>
        <w:t xml:space="preserve"> </w:t>
      </w:r>
      <w:r>
        <w:rPr>
          <w:rFonts w:ascii="Consolas" w:hAnsi="Consolas" w:eastAsia="Consolas"/>
          <w:b w:val="0"/>
          <w:i w:val="0"/>
          <w:color w:val="8B0000"/>
          <w:sz w:val="18"/>
        </w:rPr>
        <w:t>business_document/03_demos_and_solutions/DOC-21_Solution_Brief_Corporate.md</w:t>
      </w:r>
    </w:p>
    <w:p>
      <w:pPr>
        <w:pStyle w:val="ListBullet"/>
        <w:spacing w:after="40" w:line="276" w:lineRule="auto"/>
      </w:pPr>
      <w:r>
        <w:rPr>
          <w:rFonts w:ascii="Calibri" w:hAnsi="Calibri" w:eastAsia="Calibri"/>
          <w:b/>
          <w:i w:val="0"/>
          <w:color w:val="222222"/>
          <w:sz w:val="19"/>
        </w:rPr>
        <w:t>Lifecycle Phase:</w:t>
      </w:r>
      <w:r>
        <w:rPr>
          <w:rFonts w:ascii="Calibri" w:hAnsi="Calibri" w:eastAsia="Calibri"/>
          <w:b w:val="0"/>
          <w:i w:val="0"/>
          <w:color w:val="222222"/>
          <w:sz w:val="19"/>
        </w:rPr>
        <w:t xml:space="preserve"> Solution Mapping &amp; Business Unit Pitching</w:t>
      </w:r>
    </w:p>
    <w:p>
      <w:pPr>
        <w:pStyle w:val="ListBullet"/>
        <w:spacing w:after="40" w:line="276" w:lineRule="auto"/>
      </w:pPr>
      <w:r>
        <w:rPr>
          <w:rFonts w:ascii="Calibri" w:hAnsi="Calibri" w:eastAsia="Calibri"/>
          <w:b/>
          <w:i w:val="0"/>
          <w:color w:val="222222"/>
          <w:sz w:val="19"/>
        </w:rPr>
        <w:t>Target Audience:</w:t>
      </w:r>
      <w:r>
        <w:rPr>
          <w:rFonts w:ascii="Calibri" w:hAnsi="Calibri" w:eastAsia="Calibri"/>
          <w:b w:val="0"/>
          <w:i w:val="0"/>
          <w:color w:val="222222"/>
          <w:sz w:val="19"/>
        </w:rPr>
        <w:t xml:space="preserve"> Head of Corporate Banking, Head of Structured Finance, Head of Syndications</w:t>
      </w:r>
    </w:p>
    <w:p>
      <w:pPr>
        <w:pStyle w:val="ListBullet"/>
        <w:spacing w:after="40" w:line="276" w:lineRule="auto"/>
      </w:pPr>
      <w:r>
        <w:rPr>
          <w:rFonts w:ascii="Calibri" w:hAnsi="Calibri" w:eastAsia="Calibri"/>
          <w:b/>
          <w:i w:val="0"/>
          <w:color w:val="222222"/>
          <w:sz w:val="19"/>
        </w:rPr>
        <w:t>Operational Purpose:</w:t>
      </w:r>
      <w:r>
        <w:rPr>
          <w:rFonts w:ascii="Calibri" w:hAnsi="Calibri" w:eastAsia="Calibri"/>
          <w:b w:val="0"/>
          <w:i w:val="0"/>
          <w:color w:val="222222"/>
          <w:sz w:val="19"/>
        </w:rPr>
        <w:t xml:space="preserve"> Specialized solution brief covering complex, high-value corporate loans, consortium credit, syndicated credit facilities, and multi-currency project finance.</w:t>
      </w:r>
    </w:p>
    <w:p>
      <w:pPr>
        <w:pStyle w:val="ListBullet"/>
        <w:spacing w:after="40" w:line="276" w:lineRule="auto"/>
      </w:pPr>
      <w:r>
        <w:rPr>
          <w:rFonts w:ascii="Calibri" w:hAnsi="Calibri" w:eastAsia="Calibri"/>
          <w:b/>
          <w:i w:val="0"/>
          <w:color w:val="222222"/>
          <w:sz w:val="19"/>
        </w:rPr>
        <w:t>Detailed Table of Contents:</w:t>
      </w:r>
    </w:p>
    <w:p>
      <w:pPr>
        <w:spacing w:after="80" w:line="276" w:lineRule="auto"/>
      </w:pPr>
      <w:r>
        <w:rPr>
          <w:rFonts w:ascii="Calibri" w:hAnsi="Calibri" w:eastAsia="Calibri"/>
          <w:b w:val="0"/>
          <w:i w:val="0"/>
          <w:color w:val="222222"/>
          <w:sz w:val="19"/>
        </w:rPr>
        <w:t>1. The Complexities of Corporate Credit in Bangladesh (Consortiums, Cross-Collateralization, Regulatory Single-Borrower Limits)</w:t>
      </w:r>
    </w:p>
    <w:p>
      <w:pPr>
        <w:spacing w:after="80" w:line="276" w:lineRule="auto"/>
      </w:pPr>
      <w:r>
        <w:rPr>
          <w:rFonts w:ascii="Calibri" w:hAnsi="Calibri" w:eastAsia="Calibri"/>
          <w:b w:val="0"/>
          <w:i w:val="0"/>
          <w:color w:val="222222"/>
          <w:sz w:val="19"/>
        </w:rPr>
        <w:t>2. ULMS Corporate Suite: Multi-Tiered Group Exposure Monitoring &amp; Single Borrower Exposure Limit (SBEL) Tracking</w:t>
      </w:r>
    </w:p>
    <w:p>
      <w:pPr>
        <w:spacing w:after="80" w:line="276" w:lineRule="auto"/>
      </w:pPr>
      <w:r>
        <w:rPr>
          <w:rFonts w:ascii="Calibri" w:hAnsi="Calibri" w:eastAsia="Calibri"/>
          <w:b w:val="0"/>
          <w:i w:val="0"/>
          <w:color w:val="222222"/>
          <w:sz w:val="19"/>
        </w:rPr>
        <w:t>3. Consortium &amp; Syndicated Lending Workflows:</w:t>
      </w:r>
    </w:p>
    <w:p>
      <w:pPr>
        <w:pStyle w:val="ListBullet"/>
        <w:spacing w:after="40" w:line="276" w:lineRule="auto"/>
        <w:ind w:left="680"/>
      </w:pPr>
      <w:r>
        <w:rPr>
          <w:rFonts w:ascii="Calibri" w:hAnsi="Calibri" w:eastAsia="Calibri"/>
          <w:b w:val="0"/>
          <w:i w:val="0"/>
          <w:color w:val="222222"/>
          <w:sz w:val="19"/>
        </w:rPr>
        <w:t>Lead Agency Bank Role vs. Participating Member Bank Role</w:t>
      </w:r>
    </w:p>
    <w:p>
      <w:pPr>
        <w:pStyle w:val="ListBullet"/>
        <w:spacing w:after="40" w:line="276" w:lineRule="auto"/>
        <w:ind w:left="680"/>
      </w:pPr>
      <w:r>
        <w:rPr>
          <w:rFonts w:ascii="Calibri" w:hAnsi="Calibri" w:eastAsia="Calibri"/>
          <w:b w:val="0"/>
          <w:i w:val="0"/>
          <w:color w:val="222222"/>
          <w:sz w:val="19"/>
        </w:rPr>
        <w:t>Multi-Tranche Commitments and Shared Security Distribution</w:t>
      </w:r>
    </w:p>
    <w:p>
      <w:pPr>
        <w:pStyle w:val="ListBullet"/>
        <w:spacing w:after="40" w:line="276" w:lineRule="auto"/>
        <w:ind w:left="680"/>
      </w:pPr>
      <w:r>
        <w:rPr>
          <w:rFonts w:ascii="Calibri" w:hAnsi="Calibri" w:eastAsia="Calibri"/>
          <w:b w:val="0"/>
          <w:i w:val="0"/>
          <w:color w:val="222222"/>
          <w:sz w:val="19"/>
        </w:rPr>
        <w:t>Pro-Rata Disbursement Calls and Agency Fee Accounting</w:t>
      </w:r>
    </w:p>
    <w:p>
      <w:pPr>
        <w:spacing w:after="80" w:line="276" w:lineRule="auto"/>
      </w:pPr>
      <w:r>
        <w:rPr>
          <w:rFonts w:ascii="Calibri" w:hAnsi="Calibri" w:eastAsia="Calibri"/>
          <w:b w:val="0"/>
          <w:i w:val="0"/>
          <w:color w:val="222222"/>
          <w:sz w:val="19"/>
        </w:rPr>
        <w:t>4. Advanced Covenant Monitoring: Financial Ratio Alerts (Current Ratio, DSCR, Debt-to-Equity), Stock Inspection Tracking</w:t>
      </w:r>
    </w:p>
    <w:p>
      <w:pPr>
        <w:spacing w:after="80" w:line="276" w:lineRule="auto"/>
      </w:pPr>
      <w:r>
        <w:rPr>
          <w:rFonts w:ascii="Calibri" w:hAnsi="Calibri" w:eastAsia="Calibri"/>
          <w:b w:val="0"/>
          <w:i w:val="0"/>
          <w:color w:val="222222"/>
          <w:sz w:val="19"/>
        </w:rPr>
        <w:t>5. Multi-Currency Project Finance &amp; LC/Trade Facility Integrations</w:t>
      </w:r>
    </w:p>
    <w:p>
      <w:pPr>
        <w:spacing w:after="80" w:line="276" w:lineRule="auto"/>
      </w:pPr>
      <w:r>
        <w:rPr>
          <w:rFonts w:ascii="Calibri" w:hAnsi="Calibri" w:eastAsia="Calibri"/>
          <w:b w:val="0"/>
          <w:i w:val="0"/>
          <w:color w:val="222222"/>
          <w:sz w:val="19"/>
        </w:rPr>
        <w:t>6. Legal Documentation &amp; Multi-Party Digital Execution Workflows</w:t>
      </w:r>
    </w:p>
    <w:p>
      <w:pPr>
        <w:pStyle w:val="ListBullet"/>
        <w:spacing w:after="40" w:line="276" w:lineRule="auto"/>
      </w:pPr>
      <w:r>
        <w:rPr>
          <w:rFonts w:ascii="Calibri" w:hAnsi="Calibri" w:eastAsia="Calibri"/>
          <w:b/>
          <w:i w:val="0"/>
          <w:color w:val="222222"/>
          <w:sz w:val="19"/>
        </w:rPr>
        <w:t>Core Value Proposition:</w:t>
      </w:r>
      <w:r>
        <w:rPr>
          <w:rFonts w:ascii="Calibri" w:hAnsi="Calibri" w:eastAsia="Calibri"/>
          <w:b w:val="0"/>
          <w:i w:val="0"/>
          <w:color w:val="222222"/>
          <w:sz w:val="19"/>
        </w:rPr>
        <w:t xml:space="preserve"> Demonstrate that ULMS scales effortlessly from ৳50,000 retail nano-loans to ৳500 Crore syndicated infrastructure project facilities.</w:t>
      </w:r>
    </w:p>
    <w:p>
      <w:pPr>
        <w:pStyle w:val="ListBullet"/>
        <w:spacing w:after="40" w:line="276" w:lineRule="auto"/>
      </w:pPr>
      <w:r>
        <w:rPr>
          <w:rFonts w:ascii="Calibri" w:hAnsi="Calibri" w:eastAsia="Calibri"/>
          <w:b/>
          <w:i w:val="0"/>
          <w:color w:val="222222"/>
          <w:sz w:val="19"/>
        </w:rPr>
        <w:t>Required Inputs &amp; Exhibits:</w:t>
      </w:r>
      <w:r>
        <w:rPr>
          <w:rFonts w:ascii="Calibri" w:hAnsi="Calibri" w:eastAsia="Calibri"/>
          <w:b w:val="0"/>
          <w:i w:val="0"/>
          <w:color w:val="222222"/>
          <w:sz w:val="19"/>
        </w:rPr>
        <w:t xml:space="preserve"> Syndicated facility breakdown diagram, covenant tracking alert dashboard.</w:t>
      </w:r>
    </w:p>
    <w:p>
      <w:pPr>
        <w:pStyle w:val="ListBullet"/>
        <w:spacing w:after="40" w:line="276" w:lineRule="auto"/>
      </w:pPr>
      <w:r>
        <w:rPr>
          <w:rFonts w:ascii="Calibri" w:hAnsi="Calibri" w:eastAsia="Calibri"/>
          <w:b/>
          <w:i w:val="0"/>
          <w:color w:val="222222"/>
          <w:sz w:val="19"/>
        </w:rPr>
        <w:t>Maintenance Owner:</w:t>
      </w:r>
      <w:r>
        <w:rPr>
          <w:rFonts w:ascii="Calibri" w:hAnsi="Calibri" w:eastAsia="Calibri"/>
          <w:b w:val="0"/>
          <w:i w:val="0"/>
          <w:color w:val="222222"/>
          <w:sz w:val="19"/>
        </w:rPr>
        <w:t xml:space="preserve"> Corporate Banking Solutions Architect.</w:t>
      </w:r>
    </w:p>
    <w:p>
      <w:pPr>
        <w:keepNext/>
        <w:spacing w:before="160" w:after="40"/>
      </w:pPr>
      <w:r>
        <w:rPr>
          <w:rFonts w:ascii="Calibri" w:hAnsi="Calibri" w:eastAsia="Calibri"/>
          <w:b/>
          <w:i w:val="0"/>
          <w:color w:val="1E2660"/>
          <w:sz w:val="20"/>
        </w:rPr>
        <w:t>DOC-22: Segment Solution Brief: Digital Nano-Lending &amp; MFS Embedded Credit</w:t>
      </w:r>
    </w:p>
    <w:p>
      <w:pPr>
        <w:pStyle w:val="ListBullet"/>
        <w:spacing w:after="40" w:line="276" w:lineRule="auto"/>
      </w:pPr>
      <w:r>
        <w:rPr>
          <w:rFonts w:ascii="Calibri" w:hAnsi="Calibri" w:eastAsia="Calibri"/>
          <w:b/>
          <w:i w:val="0"/>
          <w:color w:val="222222"/>
          <w:sz w:val="19"/>
        </w:rPr>
        <w:t>Target File Path:</w:t>
      </w:r>
      <w:r>
        <w:rPr>
          <w:rFonts w:ascii="Calibri" w:hAnsi="Calibri" w:eastAsia="Calibri"/>
          <w:b w:val="0"/>
          <w:i w:val="0"/>
          <w:color w:val="222222"/>
          <w:sz w:val="19"/>
        </w:rPr>
        <w:t xml:space="preserve"> </w:t>
      </w:r>
      <w:r>
        <w:rPr>
          <w:rFonts w:ascii="Consolas" w:hAnsi="Consolas" w:eastAsia="Consolas"/>
          <w:b w:val="0"/>
          <w:i w:val="0"/>
          <w:color w:val="8B0000"/>
          <w:sz w:val="18"/>
        </w:rPr>
        <w:t>business_document/03_demos_and_solutions/DOC-22_Solution_Brief_Digital_Nano.md</w:t>
      </w:r>
    </w:p>
    <w:p>
      <w:pPr>
        <w:pStyle w:val="ListBullet"/>
        <w:spacing w:after="40" w:line="276" w:lineRule="auto"/>
      </w:pPr>
      <w:r>
        <w:rPr>
          <w:rFonts w:ascii="Calibri" w:hAnsi="Calibri" w:eastAsia="Calibri"/>
          <w:b/>
          <w:i w:val="0"/>
          <w:color w:val="222222"/>
          <w:sz w:val="19"/>
        </w:rPr>
        <w:t>Lifecycle Phase:</w:t>
      </w:r>
      <w:r>
        <w:rPr>
          <w:rFonts w:ascii="Calibri" w:hAnsi="Calibri" w:eastAsia="Calibri"/>
          <w:b w:val="0"/>
          <w:i w:val="0"/>
          <w:color w:val="222222"/>
          <w:sz w:val="19"/>
        </w:rPr>
        <w:t xml:space="preserve"> Solution Mapping &amp; Digital Banking Pitching</w:t>
      </w:r>
    </w:p>
    <w:p>
      <w:pPr>
        <w:pStyle w:val="ListBullet"/>
        <w:spacing w:after="40" w:line="276" w:lineRule="auto"/>
      </w:pPr>
      <w:r>
        <w:rPr>
          <w:rFonts w:ascii="Calibri" w:hAnsi="Calibri" w:eastAsia="Calibri"/>
          <w:b/>
          <w:i w:val="0"/>
          <w:color w:val="222222"/>
          <w:sz w:val="19"/>
        </w:rPr>
        <w:t>Target Audience:</w:t>
      </w:r>
      <w:r>
        <w:rPr>
          <w:rFonts w:ascii="Calibri" w:hAnsi="Calibri" w:eastAsia="Calibri"/>
          <w:b w:val="0"/>
          <w:i w:val="0"/>
          <w:color w:val="222222"/>
          <w:sz w:val="19"/>
        </w:rPr>
        <w:t xml:space="preserve"> Chief Digital Officers, Heads of Digital Banking, MFS Partnership Leads</w:t>
      </w:r>
    </w:p>
    <w:p>
      <w:pPr>
        <w:pStyle w:val="ListBullet"/>
        <w:spacing w:after="40" w:line="276" w:lineRule="auto"/>
      </w:pPr>
      <w:r>
        <w:rPr>
          <w:rFonts w:ascii="Calibri" w:hAnsi="Calibri" w:eastAsia="Calibri"/>
          <w:b/>
          <w:i w:val="0"/>
          <w:color w:val="222222"/>
          <w:sz w:val="19"/>
        </w:rPr>
        <w:t>Operational Purpose:</w:t>
      </w:r>
      <w:r>
        <w:rPr>
          <w:rFonts w:ascii="Calibri" w:hAnsi="Calibri" w:eastAsia="Calibri"/>
          <w:b w:val="0"/>
          <w:i w:val="0"/>
          <w:color w:val="222222"/>
          <w:sz w:val="19"/>
        </w:rPr>
        <w:t xml:space="preserve"> Specialized solution brief on sub-second digital micro-lending integrated with Mobile Financial Services (MFS) like bKash, Nagad, and Rocket under Bangladesh Bank Digital Banking Guidelines.</w:t>
      </w:r>
    </w:p>
    <w:p>
      <w:pPr>
        <w:pStyle w:val="ListBullet"/>
        <w:spacing w:after="40" w:line="276" w:lineRule="auto"/>
      </w:pPr>
      <w:r>
        <w:rPr>
          <w:rFonts w:ascii="Calibri" w:hAnsi="Calibri" w:eastAsia="Calibri"/>
          <w:b/>
          <w:i w:val="0"/>
          <w:color w:val="222222"/>
          <w:sz w:val="19"/>
        </w:rPr>
        <w:t>Detailed Table of Contents:</w:t>
      </w:r>
    </w:p>
    <w:p>
      <w:pPr>
        <w:spacing w:after="80" w:line="276" w:lineRule="auto"/>
      </w:pPr>
      <w:r>
        <w:rPr>
          <w:rFonts w:ascii="Calibri" w:hAnsi="Calibri" w:eastAsia="Calibri"/>
          <w:b w:val="0"/>
          <w:i w:val="0"/>
          <w:color w:val="222222"/>
          <w:sz w:val="19"/>
        </w:rPr>
        <w:t>1. The Digital Banking Revolution in Bangladesh (Digital Bank Licenses, National Cashless Roadmap 2027)</w:t>
      </w:r>
    </w:p>
    <w:p>
      <w:pPr>
        <w:spacing w:after="80" w:line="276" w:lineRule="auto"/>
      </w:pPr>
      <w:r>
        <w:rPr>
          <w:rFonts w:ascii="Calibri" w:hAnsi="Calibri" w:eastAsia="Calibri"/>
          <w:b w:val="0"/>
          <w:i w:val="0"/>
          <w:color w:val="222222"/>
          <w:sz w:val="19"/>
        </w:rPr>
        <w:t>2. What is Nano-Lending? Small-Ticket (৳1,000–৳50,000), Short-Term (30–90 Days), Instant Digital Loans</w:t>
      </w:r>
    </w:p>
    <w:p>
      <w:pPr>
        <w:spacing w:after="80" w:line="276" w:lineRule="auto"/>
      </w:pPr>
      <w:r>
        <w:rPr>
          <w:rFonts w:ascii="Calibri" w:hAnsi="Calibri" w:eastAsia="Calibri"/>
          <w:b w:val="0"/>
          <w:i w:val="0"/>
          <w:color w:val="222222"/>
          <w:sz w:val="19"/>
        </w:rPr>
        <w:t>3. The ULMS Sub-Second Credit Scoring Pipeline: Integration with Telco CDR, Utility, and MFS Transaction Data</w:t>
      </w:r>
    </w:p>
    <w:p>
      <w:pPr>
        <w:spacing w:after="80" w:line="276" w:lineRule="auto"/>
      </w:pPr>
      <w:r>
        <w:rPr>
          <w:rFonts w:ascii="Calibri" w:hAnsi="Calibri" w:eastAsia="Calibri"/>
          <w:b w:val="0"/>
          <w:i w:val="0"/>
          <w:color w:val="222222"/>
          <w:sz w:val="19"/>
        </w:rPr>
        <w:t>4. End-to-End Automated Journey: Mobile Verification → Algorithmic Scoring → Instant Disbursement to MFS Wallet</w:t>
      </w:r>
    </w:p>
    <w:p>
      <w:pPr>
        <w:spacing w:after="80" w:line="276" w:lineRule="auto"/>
      </w:pPr>
      <w:r>
        <w:rPr>
          <w:rFonts w:ascii="Calibri" w:hAnsi="Calibri" w:eastAsia="Calibri"/>
          <w:b w:val="0"/>
          <w:i w:val="0"/>
          <w:color w:val="222222"/>
          <w:sz w:val="19"/>
        </w:rPr>
        <w:t>5. Collections &amp; Micro-Repayment Automation: Real-Time Webhooks, Automated Wallet Sweeps, Push Notifications</w:t>
      </w:r>
    </w:p>
    <w:p>
      <w:pPr>
        <w:spacing w:after="80" w:line="276" w:lineRule="auto"/>
      </w:pPr>
      <w:r>
        <w:rPr>
          <w:rFonts w:ascii="Calibri" w:hAnsi="Calibri" w:eastAsia="Calibri"/>
          <w:b w:val="0"/>
          <w:i w:val="0"/>
          <w:color w:val="222222"/>
          <w:sz w:val="19"/>
        </w:rPr>
        <w:t>6. Fraud Mitigation &amp; Anti-Sybil Defense: Device Fingerprinting, NID Deduplication, Real-Time Blacklist Screening</w:t>
      </w:r>
    </w:p>
    <w:p>
      <w:pPr>
        <w:spacing w:after="80" w:line="276" w:lineRule="auto"/>
      </w:pPr>
      <w:r>
        <w:rPr>
          <w:rFonts w:ascii="Calibri" w:hAnsi="Calibri" w:eastAsia="Calibri"/>
          <w:b w:val="0"/>
          <w:i w:val="0"/>
          <w:color w:val="222222"/>
          <w:sz w:val="19"/>
        </w:rPr>
        <w:t>7. Scalability &amp; High-Throughput Performance: Benchmarked for 1,000+ Concurrent Requests per Second</w:t>
      </w:r>
    </w:p>
    <w:p>
      <w:pPr>
        <w:pStyle w:val="ListBullet"/>
        <w:spacing w:after="40" w:line="276" w:lineRule="auto"/>
      </w:pPr>
      <w:r>
        <w:rPr>
          <w:rFonts w:ascii="Calibri" w:hAnsi="Calibri" w:eastAsia="Calibri"/>
          <w:b/>
          <w:i w:val="0"/>
          <w:color w:val="222222"/>
          <w:sz w:val="19"/>
        </w:rPr>
        <w:t>Core Value Proposition:</w:t>
      </w:r>
      <w:r>
        <w:rPr>
          <w:rFonts w:ascii="Calibri" w:hAnsi="Calibri" w:eastAsia="Calibri"/>
          <w:b w:val="0"/>
          <w:i w:val="0"/>
          <w:color w:val="222222"/>
          <w:sz w:val="19"/>
        </w:rPr>
        <w:t xml:space="preserve"> Position ULMS as the ultimate engine for scheduled banks seeking to launch next-generation digital lending products and partner with major MFS wallets.</w:t>
      </w:r>
    </w:p>
    <w:p>
      <w:pPr>
        <w:pStyle w:val="ListBullet"/>
        <w:spacing w:after="40" w:line="276" w:lineRule="auto"/>
      </w:pPr>
      <w:r>
        <w:rPr>
          <w:rFonts w:ascii="Calibri" w:hAnsi="Calibri" w:eastAsia="Calibri"/>
          <w:b/>
          <w:i w:val="0"/>
          <w:color w:val="222222"/>
          <w:sz w:val="19"/>
        </w:rPr>
        <w:t>Required Inputs &amp; Exhibits:</w:t>
      </w:r>
      <w:r>
        <w:rPr>
          <w:rFonts w:ascii="Calibri" w:hAnsi="Calibri" w:eastAsia="Calibri"/>
          <w:b w:val="0"/>
          <w:i w:val="0"/>
          <w:color w:val="222222"/>
          <w:sz w:val="19"/>
        </w:rPr>
        <w:t xml:space="preserve"> Sub-second API sequence diagram, MFS wallet integration architecture.</w:t>
      </w:r>
    </w:p>
    <w:p>
      <w:pPr>
        <w:pStyle w:val="ListBullet"/>
        <w:spacing w:after="40" w:line="276" w:lineRule="auto"/>
      </w:pPr>
      <w:r>
        <w:rPr>
          <w:rFonts w:ascii="Calibri" w:hAnsi="Calibri" w:eastAsia="Calibri"/>
          <w:b/>
          <w:i w:val="0"/>
          <w:color w:val="222222"/>
          <w:sz w:val="19"/>
        </w:rPr>
        <w:t>Maintenance Owner:</w:t>
      </w:r>
      <w:r>
        <w:rPr>
          <w:rFonts w:ascii="Calibri" w:hAnsi="Calibri" w:eastAsia="Calibri"/>
          <w:b w:val="0"/>
          <w:i w:val="0"/>
          <w:color w:val="222222"/>
          <w:sz w:val="19"/>
        </w:rPr>
        <w:t xml:space="preserve"> Digital Banking &amp; FinTech Solutions Lead.</w:t>
      </w:r>
    </w:p>
    <w:p>
      <w:pPr>
        <w:pStyle w:val="Heading3"/>
        <w:keepNext/>
      </w:pPr>
      <w:r>
        <w:t>CATEGORY 4: ENTERPRISE BID, RFP &amp; TENDER MASTER LIBRARY (CAT-04)</w:t>
      </w:r>
    </w:p>
    <w:p>
      <w:pPr>
        <w:keepNext/>
        <w:spacing w:before="160" w:after="40"/>
      </w:pPr>
      <w:r>
        <w:rPr>
          <w:rFonts w:ascii="Calibri" w:hAnsi="Calibri" w:eastAsia="Calibri"/>
          <w:b/>
          <w:i w:val="0"/>
          <w:color w:val="1E2660"/>
          <w:sz w:val="20"/>
        </w:rPr>
        <w:t>DOC-23: Master RFP Technical Proposal Template (QCBS Compliant)</w:t>
      </w:r>
    </w:p>
    <w:p>
      <w:pPr>
        <w:pStyle w:val="ListBullet"/>
        <w:spacing w:after="40" w:line="276" w:lineRule="auto"/>
      </w:pPr>
      <w:r>
        <w:rPr>
          <w:rFonts w:ascii="Calibri" w:hAnsi="Calibri" w:eastAsia="Calibri"/>
          <w:b/>
          <w:i w:val="0"/>
          <w:color w:val="222222"/>
          <w:sz w:val="19"/>
        </w:rPr>
        <w:t>Target File Path:</w:t>
      </w:r>
      <w:r>
        <w:rPr>
          <w:rFonts w:ascii="Calibri" w:hAnsi="Calibri" w:eastAsia="Calibri"/>
          <w:b w:val="0"/>
          <w:i w:val="0"/>
          <w:color w:val="222222"/>
          <w:sz w:val="19"/>
        </w:rPr>
        <w:t xml:space="preserve"> </w:t>
      </w:r>
      <w:r>
        <w:rPr>
          <w:rFonts w:ascii="Consolas" w:hAnsi="Consolas" w:eastAsia="Consolas"/>
          <w:b w:val="0"/>
          <w:i w:val="0"/>
          <w:color w:val="8B0000"/>
          <w:sz w:val="18"/>
        </w:rPr>
        <w:t>business_document/04_rfp_and_tenders/DOC-23_Master_RFP_Technical_Proposal.md</w:t>
      </w:r>
    </w:p>
    <w:p>
      <w:pPr>
        <w:pStyle w:val="ListBullet"/>
        <w:spacing w:after="40" w:line="276" w:lineRule="auto"/>
      </w:pPr>
      <w:r>
        <w:rPr>
          <w:rFonts w:ascii="Calibri" w:hAnsi="Calibri" w:eastAsia="Calibri"/>
          <w:b/>
          <w:i w:val="0"/>
          <w:color w:val="222222"/>
          <w:sz w:val="19"/>
        </w:rPr>
        <w:t>Lifecycle Phase:</w:t>
      </w:r>
      <w:r>
        <w:rPr>
          <w:rFonts w:ascii="Calibri" w:hAnsi="Calibri" w:eastAsia="Calibri"/>
          <w:b w:val="0"/>
          <w:i w:val="0"/>
          <w:color w:val="222222"/>
          <w:sz w:val="19"/>
        </w:rPr>
        <w:t xml:space="preserve"> Formal Tender Submission (Envelope-1)</w:t>
      </w:r>
    </w:p>
    <w:p>
      <w:pPr>
        <w:pStyle w:val="ListBullet"/>
        <w:spacing w:after="40" w:line="276" w:lineRule="auto"/>
      </w:pPr>
      <w:r>
        <w:rPr>
          <w:rFonts w:ascii="Calibri" w:hAnsi="Calibri" w:eastAsia="Calibri"/>
          <w:b/>
          <w:i w:val="0"/>
          <w:color w:val="222222"/>
          <w:sz w:val="19"/>
        </w:rPr>
        <w:t>Target Audience:</w:t>
      </w:r>
      <w:r>
        <w:rPr>
          <w:rFonts w:ascii="Calibri" w:hAnsi="Calibri" w:eastAsia="Calibri"/>
          <w:b w:val="0"/>
          <w:i w:val="0"/>
          <w:color w:val="222222"/>
          <w:sz w:val="19"/>
        </w:rPr>
        <w:t xml:space="preserve"> Bank Tender Committees, Technical Evaluation Committees (TECs), ICT Selection Boards</w:t>
      </w:r>
    </w:p>
    <w:p>
      <w:pPr>
        <w:pStyle w:val="ListBullet"/>
        <w:spacing w:after="40" w:line="276" w:lineRule="auto"/>
      </w:pPr>
      <w:r>
        <w:rPr>
          <w:rFonts w:ascii="Calibri" w:hAnsi="Calibri" w:eastAsia="Calibri"/>
          <w:b/>
          <w:i w:val="0"/>
          <w:color w:val="222222"/>
          <w:sz w:val="19"/>
        </w:rPr>
        <w:t>Operational Purpose:</w:t>
      </w:r>
      <w:r>
        <w:rPr>
          <w:rFonts w:ascii="Calibri" w:hAnsi="Calibri" w:eastAsia="Calibri"/>
          <w:b w:val="0"/>
          <w:i w:val="0"/>
          <w:color w:val="222222"/>
          <w:sz w:val="19"/>
        </w:rPr>
        <w:t xml:space="preserve"> A standardized, master technical proposal template complying with Public Procurement Rules (PPR 2008) and banking procurement guidelines, ready for rapid customization per tender.</w:t>
      </w:r>
    </w:p>
    <w:p>
      <w:pPr>
        <w:pStyle w:val="ListBullet"/>
        <w:spacing w:after="40" w:line="276" w:lineRule="auto"/>
      </w:pPr>
      <w:r>
        <w:rPr>
          <w:rFonts w:ascii="Calibri" w:hAnsi="Calibri" w:eastAsia="Calibri"/>
          <w:b/>
          <w:i w:val="0"/>
          <w:color w:val="222222"/>
          <w:sz w:val="19"/>
        </w:rPr>
        <w:t>Detailed Table of Contents:</w:t>
      </w:r>
    </w:p>
    <w:p>
      <w:pPr>
        <w:spacing w:after="80" w:line="276" w:lineRule="auto"/>
      </w:pPr>
      <w:r>
        <w:rPr>
          <w:rFonts w:ascii="Calibri" w:hAnsi="Calibri" w:eastAsia="Calibri"/>
          <w:b w:val="0"/>
          <w:i w:val="0"/>
          <w:color w:val="222222"/>
          <w:sz w:val="19"/>
        </w:rPr>
        <w:t>1. Letter of Technical Proposal Submission &amp; Executive Overview</w:t>
      </w:r>
    </w:p>
    <w:p>
      <w:pPr>
        <w:spacing w:after="80" w:line="276" w:lineRule="auto"/>
      </w:pPr>
      <w:r>
        <w:rPr>
          <w:rFonts w:ascii="Calibri" w:hAnsi="Calibri" w:eastAsia="Calibri"/>
          <w:b w:val="0"/>
          <w:i w:val="0"/>
          <w:color w:val="222222"/>
          <w:sz w:val="19"/>
        </w:rPr>
        <w:t>2. Bidders Profile, Corporate Standing, and Legal Certifications (Unisoft / Smart Technologies)</w:t>
      </w:r>
    </w:p>
    <w:p>
      <w:pPr>
        <w:spacing w:after="80" w:line="276" w:lineRule="auto"/>
      </w:pPr>
      <w:r>
        <w:rPr>
          <w:rFonts w:ascii="Calibri" w:hAnsi="Calibri" w:eastAsia="Calibri"/>
          <w:b w:val="0"/>
          <w:i w:val="0"/>
          <w:color w:val="222222"/>
          <w:sz w:val="19"/>
        </w:rPr>
        <w:t>3. Understanding of Terms of Reference (ToR) and System Objectives</w:t>
      </w:r>
    </w:p>
    <w:p>
      <w:pPr>
        <w:spacing w:after="80" w:line="276" w:lineRule="auto"/>
      </w:pPr>
      <w:r>
        <w:rPr>
          <w:rFonts w:ascii="Calibri" w:hAnsi="Calibri" w:eastAsia="Calibri"/>
          <w:b w:val="0"/>
          <w:i w:val="0"/>
          <w:color w:val="222222"/>
          <w:sz w:val="19"/>
        </w:rPr>
        <w:t>4. Proposed System Architecture (C4 Topology, Technology Stack, Modular Monolith Rationale)</w:t>
      </w:r>
    </w:p>
    <w:p>
      <w:pPr>
        <w:spacing w:after="80" w:line="276" w:lineRule="auto"/>
      </w:pPr>
      <w:r>
        <w:rPr>
          <w:rFonts w:ascii="Calibri" w:hAnsi="Calibri" w:eastAsia="Calibri"/>
          <w:b w:val="0"/>
          <w:i w:val="0"/>
          <w:color w:val="222222"/>
          <w:sz w:val="19"/>
        </w:rPr>
        <w:t>5. Exhaustive Functional Module Descriptions (Origination through Collections &amp; Accounting)</w:t>
      </w:r>
    </w:p>
    <w:p>
      <w:pPr>
        <w:spacing w:after="80" w:line="276" w:lineRule="auto"/>
      </w:pPr>
      <w:r>
        <w:rPr>
          <w:rFonts w:ascii="Calibri" w:hAnsi="Calibri" w:eastAsia="Calibri"/>
          <w:b w:val="0"/>
          <w:i w:val="0"/>
          <w:color w:val="222222"/>
          <w:sz w:val="19"/>
        </w:rPr>
        <w:t>6. Technical Infrastructure, Sizing, and Hardware Resource Specifications</w:t>
      </w:r>
    </w:p>
    <w:p>
      <w:pPr>
        <w:spacing w:after="80" w:line="276" w:lineRule="auto"/>
      </w:pPr>
      <w:r>
        <w:rPr>
          <w:rFonts w:ascii="Calibri" w:hAnsi="Calibri" w:eastAsia="Calibri"/>
          <w:b w:val="0"/>
          <w:i w:val="0"/>
          <w:color w:val="222222"/>
          <w:sz w:val="19"/>
        </w:rPr>
        <w:t>7. Core Banking System (CBS) &amp; External Rails Integration Methodology</w:t>
      </w:r>
    </w:p>
    <w:p>
      <w:pPr>
        <w:spacing w:after="80" w:line="276" w:lineRule="auto"/>
      </w:pPr>
      <w:r>
        <w:rPr>
          <w:rFonts w:ascii="Calibri" w:hAnsi="Calibri" w:eastAsia="Calibri"/>
          <w:b w:val="0"/>
          <w:i w:val="0"/>
          <w:color w:val="222222"/>
          <w:sz w:val="19"/>
        </w:rPr>
        <w:t>8. Security, Data Sovereignty &amp; Bangladesh Bank Regulatory Compliance Statement</w:t>
      </w:r>
    </w:p>
    <w:p>
      <w:pPr>
        <w:spacing w:after="80" w:line="276" w:lineRule="auto"/>
      </w:pPr>
      <w:r>
        <w:rPr>
          <w:rFonts w:ascii="Calibri" w:hAnsi="Calibri" w:eastAsia="Calibri"/>
          <w:b w:val="0"/>
          <w:i w:val="0"/>
          <w:color w:val="222222"/>
          <w:sz w:val="19"/>
        </w:rPr>
        <w:t>9. Project Work Plan, Work Breakdown Structure (WBS), and Resource Allocation Schedule</w:t>
      </w:r>
    </w:p>
    <w:p>
      <w:pPr>
        <w:spacing w:after="80" w:line="276" w:lineRule="auto"/>
      </w:pPr>
      <w:r>
        <w:rPr>
          <w:rFonts w:ascii="Calibri" w:hAnsi="Calibri" w:eastAsia="Calibri"/>
          <w:b w:val="0"/>
          <w:i w:val="0"/>
          <w:color w:val="222222"/>
          <w:sz w:val="19"/>
        </w:rPr>
        <w:t>10. Curriculum Vitae (CV) of Key Technical Personnel and Project Leadership</w:t>
      </w:r>
    </w:p>
    <w:p>
      <w:pPr>
        <w:pStyle w:val="ListBullet"/>
        <w:spacing w:after="40" w:line="276" w:lineRule="auto"/>
      </w:pPr>
      <w:r>
        <w:rPr>
          <w:rFonts w:ascii="Calibri" w:hAnsi="Calibri" w:eastAsia="Calibri"/>
          <w:b/>
          <w:i w:val="0"/>
          <w:color w:val="222222"/>
          <w:sz w:val="19"/>
        </w:rPr>
        <w:t>Core Value Proposition:</w:t>
      </w:r>
      <w:r>
        <w:rPr>
          <w:rFonts w:ascii="Calibri" w:hAnsi="Calibri" w:eastAsia="Calibri"/>
          <w:b w:val="0"/>
          <w:i w:val="0"/>
          <w:color w:val="222222"/>
          <w:sz w:val="19"/>
        </w:rPr>
        <w:t xml:space="preserve"> Provide an airtight, institutional technical bid that systematically earns top marks (&gt;90/100) on all technical evaluation criteria.</w:t>
      </w:r>
    </w:p>
    <w:p>
      <w:pPr>
        <w:pStyle w:val="ListBullet"/>
        <w:spacing w:after="40" w:line="276" w:lineRule="auto"/>
      </w:pPr>
      <w:r>
        <w:rPr>
          <w:rFonts w:ascii="Calibri" w:hAnsi="Calibri" w:eastAsia="Calibri"/>
          <w:b/>
          <w:i w:val="0"/>
          <w:color w:val="222222"/>
          <w:sz w:val="19"/>
        </w:rPr>
        <w:t>Required Inputs &amp; Exhibits:</w:t>
      </w:r>
      <w:r>
        <w:rPr>
          <w:rFonts w:ascii="Calibri" w:hAnsi="Calibri" w:eastAsia="Calibri"/>
          <w:b w:val="0"/>
          <w:i w:val="0"/>
          <w:color w:val="222222"/>
          <w:sz w:val="19"/>
        </w:rPr>
        <w:t xml:space="preserve"> Work breakdown Gantt chart, CV repository, architecture schematics.</w:t>
      </w:r>
    </w:p>
    <w:p>
      <w:pPr>
        <w:pStyle w:val="ListBullet"/>
        <w:spacing w:after="40" w:line="276" w:lineRule="auto"/>
      </w:pPr>
      <w:r>
        <w:rPr>
          <w:rFonts w:ascii="Calibri" w:hAnsi="Calibri" w:eastAsia="Calibri"/>
          <w:b/>
          <w:i w:val="0"/>
          <w:color w:val="222222"/>
          <w:sz w:val="19"/>
        </w:rPr>
        <w:t>Maintenance Owner:</w:t>
      </w:r>
      <w:r>
        <w:rPr>
          <w:rFonts w:ascii="Calibri" w:hAnsi="Calibri" w:eastAsia="Calibri"/>
          <w:b w:val="0"/>
          <w:i w:val="0"/>
          <w:color w:val="222222"/>
          <w:sz w:val="19"/>
        </w:rPr>
        <w:t xml:space="preserve"> Head of Bid Management &amp; Solutions Architecture.</w:t>
      </w:r>
    </w:p>
    <w:p>
      <w:pPr>
        <w:keepNext/>
        <w:spacing w:before="160" w:after="40"/>
      </w:pPr>
      <w:r>
        <w:rPr>
          <w:rFonts w:ascii="Calibri" w:hAnsi="Calibri" w:eastAsia="Calibri"/>
          <w:b/>
          <w:i w:val="0"/>
          <w:color w:val="1E2660"/>
          <w:sz w:val="20"/>
        </w:rPr>
        <w:t>DOC-24: Master RFP Financial Proposal &amp; Cost Breakdown Template</w:t>
      </w:r>
    </w:p>
    <w:p>
      <w:pPr>
        <w:pStyle w:val="ListBullet"/>
        <w:spacing w:after="40" w:line="276" w:lineRule="auto"/>
      </w:pPr>
      <w:r>
        <w:rPr>
          <w:rFonts w:ascii="Calibri" w:hAnsi="Calibri" w:eastAsia="Calibri"/>
          <w:b/>
          <w:i w:val="0"/>
          <w:color w:val="222222"/>
          <w:sz w:val="19"/>
        </w:rPr>
        <w:t>Target File Path:</w:t>
      </w:r>
      <w:r>
        <w:rPr>
          <w:rFonts w:ascii="Calibri" w:hAnsi="Calibri" w:eastAsia="Calibri"/>
          <w:b w:val="0"/>
          <w:i w:val="0"/>
          <w:color w:val="222222"/>
          <w:sz w:val="19"/>
        </w:rPr>
        <w:t xml:space="preserve"> </w:t>
      </w:r>
      <w:r>
        <w:rPr>
          <w:rFonts w:ascii="Consolas" w:hAnsi="Consolas" w:eastAsia="Consolas"/>
          <w:b w:val="0"/>
          <w:i w:val="0"/>
          <w:color w:val="8B0000"/>
          <w:sz w:val="18"/>
        </w:rPr>
        <w:t>business_document/04_rfp_and_tenders/DOC-24_Master_RFP_Financial_Proposal.md</w:t>
      </w:r>
    </w:p>
    <w:p>
      <w:pPr>
        <w:pStyle w:val="ListBullet"/>
        <w:spacing w:after="40" w:line="276" w:lineRule="auto"/>
      </w:pPr>
      <w:r>
        <w:rPr>
          <w:rFonts w:ascii="Calibri" w:hAnsi="Calibri" w:eastAsia="Calibri"/>
          <w:b/>
          <w:i w:val="0"/>
          <w:color w:val="222222"/>
          <w:sz w:val="19"/>
        </w:rPr>
        <w:t>Lifecycle Phase:</w:t>
      </w:r>
      <w:r>
        <w:rPr>
          <w:rFonts w:ascii="Calibri" w:hAnsi="Calibri" w:eastAsia="Calibri"/>
          <w:b w:val="0"/>
          <w:i w:val="0"/>
          <w:color w:val="222222"/>
          <w:sz w:val="19"/>
        </w:rPr>
        <w:t xml:space="preserve"> Formal Tender Submission (Envelope-2)</w:t>
      </w:r>
    </w:p>
    <w:p>
      <w:pPr>
        <w:pStyle w:val="ListBullet"/>
        <w:spacing w:after="40" w:line="276" w:lineRule="auto"/>
      </w:pPr>
      <w:r>
        <w:rPr>
          <w:rFonts w:ascii="Calibri" w:hAnsi="Calibri" w:eastAsia="Calibri"/>
          <w:b/>
          <w:i w:val="0"/>
          <w:color w:val="222222"/>
          <w:sz w:val="19"/>
        </w:rPr>
        <w:t>Target Audience:</w:t>
      </w:r>
      <w:r>
        <w:rPr>
          <w:rFonts w:ascii="Calibri" w:hAnsi="Calibri" w:eastAsia="Calibri"/>
          <w:b w:val="0"/>
          <w:i w:val="0"/>
          <w:color w:val="222222"/>
          <w:sz w:val="19"/>
        </w:rPr>
        <w:t xml:space="preserve"> Commercial Evaluation Committees, Chief Financial Officers, Heads of Procurement</w:t>
      </w:r>
    </w:p>
    <w:p>
      <w:pPr>
        <w:pStyle w:val="ListBullet"/>
        <w:spacing w:after="40" w:line="276" w:lineRule="auto"/>
      </w:pPr>
      <w:r>
        <w:rPr>
          <w:rFonts w:ascii="Calibri" w:hAnsi="Calibri" w:eastAsia="Calibri"/>
          <w:b/>
          <w:i w:val="0"/>
          <w:color w:val="222222"/>
          <w:sz w:val="19"/>
        </w:rPr>
        <w:t>Operational Purpose:</w:t>
      </w:r>
      <w:r>
        <w:rPr>
          <w:rFonts w:ascii="Calibri" w:hAnsi="Calibri" w:eastAsia="Calibri"/>
          <w:b w:val="0"/>
          <w:i w:val="0"/>
          <w:color w:val="222222"/>
          <w:sz w:val="19"/>
        </w:rPr>
        <w:t xml:space="preserve"> Formatted, transparent commercial bid document providing standardized price schedules, license fee breakdowns, implementation services, and AMC terms in strict compliance with two-envelope tender rules.</w:t>
      </w:r>
    </w:p>
    <w:p>
      <w:pPr>
        <w:pStyle w:val="ListBullet"/>
        <w:spacing w:after="40" w:line="276" w:lineRule="auto"/>
      </w:pPr>
      <w:r>
        <w:rPr>
          <w:rFonts w:ascii="Calibri" w:hAnsi="Calibri" w:eastAsia="Calibri"/>
          <w:b/>
          <w:i w:val="0"/>
          <w:color w:val="222222"/>
          <w:sz w:val="19"/>
        </w:rPr>
        <w:t>Detailed Table of Contents:</w:t>
      </w:r>
    </w:p>
    <w:p>
      <w:pPr>
        <w:spacing w:after="80" w:line="276" w:lineRule="auto"/>
      </w:pPr>
      <w:r>
        <w:rPr>
          <w:rFonts w:ascii="Calibri" w:hAnsi="Calibri" w:eastAsia="Calibri"/>
          <w:b w:val="0"/>
          <w:i w:val="0"/>
          <w:color w:val="222222"/>
          <w:sz w:val="19"/>
        </w:rPr>
        <w:t>1. Financial Proposal Submission Form &amp; Commercial Validity Undertaking</w:t>
      </w:r>
    </w:p>
    <w:p>
      <w:pPr>
        <w:spacing w:after="80" w:line="276" w:lineRule="auto"/>
      </w:pPr>
      <w:r>
        <w:rPr>
          <w:rFonts w:ascii="Calibri" w:hAnsi="Calibri" w:eastAsia="Calibri"/>
          <w:b w:val="0"/>
          <w:i w:val="0"/>
          <w:color w:val="222222"/>
          <w:sz w:val="19"/>
        </w:rPr>
        <w:t>2. Schedule of Prices Summary (Software License, Implementation Services, Training, Annual Maintenance)</w:t>
      </w:r>
    </w:p>
    <w:p>
      <w:pPr>
        <w:spacing w:after="80" w:line="276" w:lineRule="auto"/>
      </w:pPr>
      <w:r>
        <w:rPr>
          <w:rFonts w:ascii="Calibri" w:hAnsi="Calibri" w:eastAsia="Calibri"/>
          <w:b w:val="0"/>
          <w:i w:val="0"/>
          <w:color w:val="222222"/>
          <w:sz w:val="19"/>
        </w:rPr>
        <w:t>3. Detailed Price Breakdown: Core Platform Perpetual License vs. Tiered User/Branch Packages</w:t>
      </w:r>
    </w:p>
    <w:p>
      <w:pPr>
        <w:spacing w:after="80" w:line="276" w:lineRule="auto"/>
      </w:pPr>
      <w:r>
        <w:rPr>
          <w:rFonts w:ascii="Calibri" w:hAnsi="Calibri" w:eastAsia="Calibri"/>
          <w:b w:val="0"/>
          <w:i w:val="0"/>
          <w:color w:val="222222"/>
          <w:sz w:val="19"/>
        </w:rPr>
        <w:t>4. Implementation &amp; Customization Services: Milestone-Based Billing Schedule</w:t>
      </w:r>
    </w:p>
    <w:p>
      <w:pPr>
        <w:spacing w:after="80" w:line="276" w:lineRule="auto"/>
      </w:pPr>
      <w:r>
        <w:rPr>
          <w:rFonts w:ascii="Calibri" w:hAnsi="Calibri" w:eastAsia="Calibri"/>
          <w:b w:val="0"/>
          <w:i w:val="0"/>
          <w:color w:val="222222"/>
          <w:sz w:val="19"/>
        </w:rPr>
        <w:t>5. Data Migration &amp; CBS Integration Line-Item Costing</w:t>
      </w:r>
    </w:p>
    <w:p>
      <w:pPr>
        <w:spacing w:after="80" w:line="276" w:lineRule="auto"/>
      </w:pPr>
      <w:r>
        <w:rPr>
          <w:rFonts w:ascii="Calibri" w:hAnsi="Calibri" w:eastAsia="Calibri"/>
          <w:b w:val="0"/>
          <w:i w:val="0"/>
          <w:color w:val="222222"/>
          <w:sz w:val="19"/>
        </w:rPr>
        <w:t>6. Training, Change Management &amp; Capacity Building Pricing</w:t>
      </w:r>
    </w:p>
    <w:p>
      <w:pPr>
        <w:spacing w:after="80" w:line="276" w:lineRule="auto"/>
      </w:pPr>
      <w:r>
        <w:rPr>
          <w:rFonts w:ascii="Calibri" w:hAnsi="Calibri" w:eastAsia="Calibri"/>
          <w:b w:val="0"/>
          <w:i w:val="0"/>
          <w:color w:val="222222"/>
          <w:sz w:val="19"/>
        </w:rPr>
        <w:t>7. Annual Maintenance Contract (AMC) Terms (Year 1 Included; Years 2–5 at 20%)</w:t>
      </w:r>
    </w:p>
    <w:p>
      <w:pPr>
        <w:spacing w:after="80" w:line="276" w:lineRule="auto"/>
      </w:pPr>
      <w:r>
        <w:rPr>
          <w:rFonts w:ascii="Calibri" w:hAnsi="Calibri" w:eastAsia="Calibri"/>
          <w:b w:val="0"/>
          <w:i w:val="0"/>
          <w:color w:val="222222"/>
          <w:sz w:val="19"/>
        </w:rPr>
        <w:t>8. Statutory Taxes, VAT, and AIT Handling Statement (NBR 15% VAT, Tax Deducted at Source)</w:t>
      </w:r>
    </w:p>
    <w:p>
      <w:pPr>
        <w:pStyle w:val="ListBullet"/>
        <w:spacing w:after="40" w:line="276" w:lineRule="auto"/>
      </w:pPr>
      <w:r>
        <w:rPr>
          <w:rFonts w:ascii="Calibri" w:hAnsi="Calibri" w:eastAsia="Calibri"/>
          <w:b/>
          <w:i w:val="0"/>
          <w:color w:val="222222"/>
          <w:sz w:val="19"/>
        </w:rPr>
        <w:t>Core Value Proposition:</w:t>
      </w:r>
      <w:r>
        <w:rPr>
          <w:rFonts w:ascii="Calibri" w:hAnsi="Calibri" w:eastAsia="Calibri"/>
          <w:b w:val="0"/>
          <w:i w:val="0"/>
          <w:color w:val="222222"/>
          <w:sz w:val="19"/>
        </w:rPr>
        <w:t xml:space="preserve"> Deliver transparent, predictable commercial proposals that demonstrate overwhelming cost advantages while protecting Unisoft’s margins.</w:t>
      </w:r>
    </w:p>
    <w:p>
      <w:pPr>
        <w:pStyle w:val="ListBullet"/>
        <w:spacing w:after="40" w:line="276" w:lineRule="auto"/>
      </w:pPr>
      <w:r>
        <w:rPr>
          <w:rFonts w:ascii="Calibri" w:hAnsi="Calibri" w:eastAsia="Calibri"/>
          <w:b/>
          <w:i w:val="0"/>
          <w:color w:val="222222"/>
          <w:sz w:val="19"/>
        </w:rPr>
        <w:t>Required Inputs &amp; Exhibits:</w:t>
      </w:r>
      <w:r>
        <w:rPr>
          <w:rFonts w:ascii="Calibri" w:hAnsi="Calibri" w:eastAsia="Calibri"/>
          <w:b w:val="0"/>
          <w:i w:val="0"/>
          <w:color w:val="222222"/>
          <w:sz w:val="19"/>
        </w:rPr>
        <w:t xml:space="preserve"> Price schedule spreadsheets, milestone payment terms, VAT/tax compliance certificates.</w:t>
      </w:r>
    </w:p>
    <w:p>
      <w:pPr>
        <w:pStyle w:val="ListBullet"/>
        <w:spacing w:after="40" w:line="276" w:lineRule="auto"/>
      </w:pPr>
      <w:r>
        <w:rPr>
          <w:rFonts w:ascii="Calibri" w:hAnsi="Calibri" w:eastAsia="Calibri"/>
          <w:b/>
          <w:i w:val="0"/>
          <w:color w:val="222222"/>
          <w:sz w:val="19"/>
        </w:rPr>
        <w:t>Maintenance Owner:</w:t>
      </w:r>
      <w:r>
        <w:rPr>
          <w:rFonts w:ascii="Calibri" w:hAnsi="Calibri" w:eastAsia="Calibri"/>
          <w:b w:val="0"/>
          <w:i w:val="0"/>
          <w:color w:val="222222"/>
          <w:sz w:val="19"/>
        </w:rPr>
        <w:t xml:space="preserve"> Chief Financial Officer &amp; Head of Bid Management.</w:t>
      </w:r>
    </w:p>
    <w:p>
      <w:pPr>
        <w:keepNext/>
        <w:spacing w:before="160" w:after="40"/>
      </w:pPr>
      <w:r>
        <w:rPr>
          <w:rFonts w:ascii="Calibri" w:hAnsi="Calibri" w:eastAsia="Calibri"/>
          <w:b/>
          <w:i w:val="0"/>
          <w:color w:val="1E2660"/>
          <w:sz w:val="20"/>
        </w:rPr>
        <w:t>DOC-25: Vendor Pre-Qualification &amp; Expression of Interest (EOI) Dossier</w:t>
      </w:r>
    </w:p>
    <w:p>
      <w:pPr>
        <w:pStyle w:val="ListBullet"/>
        <w:spacing w:after="40" w:line="276" w:lineRule="auto"/>
      </w:pPr>
      <w:r>
        <w:rPr>
          <w:rFonts w:ascii="Calibri" w:hAnsi="Calibri" w:eastAsia="Calibri"/>
          <w:b/>
          <w:i w:val="0"/>
          <w:color w:val="222222"/>
          <w:sz w:val="19"/>
        </w:rPr>
        <w:t>Target File Path:</w:t>
      </w:r>
      <w:r>
        <w:rPr>
          <w:rFonts w:ascii="Calibri" w:hAnsi="Calibri" w:eastAsia="Calibri"/>
          <w:b w:val="0"/>
          <w:i w:val="0"/>
          <w:color w:val="222222"/>
          <w:sz w:val="19"/>
        </w:rPr>
        <w:t xml:space="preserve"> </w:t>
      </w:r>
      <w:r>
        <w:rPr>
          <w:rFonts w:ascii="Consolas" w:hAnsi="Consolas" w:eastAsia="Consolas"/>
          <w:b w:val="0"/>
          <w:i w:val="0"/>
          <w:color w:val="8B0000"/>
          <w:sz w:val="18"/>
        </w:rPr>
        <w:t>business_document/04_rfp_and_tenders/DOC-25_Vendor_PreQualification_EOI.md</w:t>
      </w:r>
    </w:p>
    <w:p>
      <w:pPr>
        <w:pStyle w:val="ListBullet"/>
        <w:spacing w:after="40" w:line="276" w:lineRule="auto"/>
      </w:pPr>
      <w:r>
        <w:rPr>
          <w:rFonts w:ascii="Calibri" w:hAnsi="Calibri" w:eastAsia="Calibri"/>
          <w:b/>
          <w:i w:val="0"/>
          <w:color w:val="222222"/>
          <w:sz w:val="19"/>
        </w:rPr>
        <w:t>Lifecycle Phase:</w:t>
      </w:r>
      <w:r>
        <w:rPr>
          <w:rFonts w:ascii="Calibri" w:hAnsi="Calibri" w:eastAsia="Calibri"/>
          <w:b w:val="0"/>
          <w:i w:val="0"/>
          <w:color w:val="222222"/>
          <w:sz w:val="19"/>
        </w:rPr>
        <w:t xml:space="preserve"> Vendor Empanelment &amp; Pre-Qualification</w:t>
      </w:r>
    </w:p>
    <w:p>
      <w:pPr>
        <w:pStyle w:val="ListBullet"/>
        <w:spacing w:after="40" w:line="276" w:lineRule="auto"/>
      </w:pPr>
      <w:r>
        <w:rPr>
          <w:rFonts w:ascii="Calibri" w:hAnsi="Calibri" w:eastAsia="Calibri"/>
          <w:b/>
          <w:i w:val="0"/>
          <w:color w:val="222222"/>
          <w:sz w:val="19"/>
        </w:rPr>
        <w:t>Target Audience:</w:t>
      </w:r>
      <w:r>
        <w:rPr>
          <w:rFonts w:ascii="Calibri" w:hAnsi="Calibri" w:eastAsia="Calibri"/>
          <w:b w:val="0"/>
          <w:i w:val="0"/>
          <w:color w:val="222222"/>
          <w:sz w:val="19"/>
        </w:rPr>
        <w:t xml:space="preserve"> Central Procurement Units, Bank Empanelment Committees</w:t>
      </w:r>
    </w:p>
    <w:p>
      <w:pPr>
        <w:pStyle w:val="ListBullet"/>
        <w:spacing w:after="40" w:line="276" w:lineRule="auto"/>
      </w:pPr>
      <w:r>
        <w:rPr>
          <w:rFonts w:ascii="Calibri" w:hAnsi="Calibri" w:eastAsia="Calibri"/>
          <w:b/>
          <w:i w:val="0"/>
          <w:color w:val="222222"/>
          <w:sz w:val="19"/>
        </w:rPr>
        <w:t>Operational Purpose:</w:t>
      </w:r>
      <w:r>
        <w:rPr>
          <w:rFonts w:ascii="Calibri" w:hAnsi="Calibri" w:eastAsia="Calibri"/>
          <w:b w:val="0"/>
          <w:i w:val="0"/>
          <w:color w:val="222222"/>
          <w:sz w:val="19"/>
        </w:rPr>
        <w:t xml:space="preserve"> Complete institutional credentials package required to register Unisoft as an approved enterprise software vendor across commercial banks and Bangladesh Bank tenders.</w:t>
      </w:r>
    </w:p>
    <w:p>
      <w:pPr>
        <w:pStyle w:val="ListBullet"/>
        <w:spacing w:after="40" w:line="276" w:lineRule="auto"/>
      </w:pPr>
      <w:r>
        <w:rPr>
          <w:rFonts w:ascii="Calibri" w:hAnsi="Calibri" w:eastAsia="Calibri"/>
          <w:b/>
          <w:i w:val="0"/>
          <w:color w:val="222222"/>
          <w:sz w:val="19"/>
        </w:rPr>
        <w:t>Detailed Table of Contents:</w:t>
      </w:r>
    </w:p>
    <w:p>
      <w:pPr>
        <w:spacing w:after="80" w:line="276" w:lineRule="auto"/>
      </w:pPr>
      <w:r>
        <w:rPr>
          <w:rFonts w:ascii="Calibri" w:hAnsi="Calibri" w:eastAsia="Calibri"/>
          <w:b w:val="0"/>
          <w:i w:val="0"/>
          <w:color w:val="222222"/>
          <w:sz w:val="19"/>
        </w:rPr>
        <w:t>1. Formal Letter of Expression of Interest (EOI)</w:t>
      </w:r>
    </w:p>
    <w:p>
      <w:pPr>
        <w:spacing w:after="80" w:line="276" w:lineRule="auto"/>
      </w:pPr>
      <w:r>
        <w:rPr>
          <w:rFonts w:ascii="Calibri" w:hAnsi="Calibri" w:eastAsia="Calibri"/>
          <w:b w:val="0"/>
          <w:i w:val="0"/>
          <w:color w:val="222222"/>
          <w:sz w:val="19"/>
        </w:rPr>
        <w:t>2. Corporate Registration &amp; Legal Documentation: Certificate of Incorporation, Memorandum &amp; Articles of Association</w:t>
      </w:r>
    </w:p>
    <w:p>
      <w:pPr>
        <w:spacing w:after="80" w:line="276" w:lineRule="auto"/>
      </w:pPr>
      <w:r>
        <w:rPr>
          <w:rFonts w:ascii="Calibri" w:hAnsi="Calibri" w:eastAsia="Calibri"/>
          <w:b w:val="0"/>
          <w:i w:val="0"/>
          <w:color w:val="222222"/>
          <w:sz w:val="19"/>
        </w:rPr>
        <w:t>3. Tax Compliance Dossier: Electronic Tax Identification Number (e-TIN), Business Identification Number (BIN/VAT)</w:t>
      </w:r>
    </w:p>
    <w:p>
      <w:pPr>
        <w:spacing w:after="80" w:line="276" w:lineRule="auto"/>
      </w:pPr>
      <w:r>
        <w:rPr>
          <w:rFonts w:ascii="Calibri" w:hAnsi="Calibri" w:eastAsia="Calibri"/>
          <w:b w:val="0"/>
          <w:i w:val="0"/>
          <w:color w:val="222222"/>
          <w:sz w:val="19"/>
        </w:rPr>
        <w:t>4. NBR VAT Software Approval Certification (UniVAT™ Approval Reference)</w:t>
      </w:r>
    </w:p>
    <w:p>
      <w:pPr>
        <w:spacing w:after="80" w:line="276" w:lineRule="auto"/>
      </w:pPr>
      <w:r>
        <w:rPr>
          <w:rFonts w:ascii="Calibri" w:hAnsi="Calibri" w:eastAsia="Calibri"/>
          <w:b w:val="0"/>
          <w:i w:val="0"/>
          <w:color w:val="222222"/>
          <w:sz w:val="19"/>
        </w:rPr>
        <w:t>5. Audited Financial Statements &amp; Balance Sheets for the Last 3 Fiscal Years</w:t>
      </w:r>
    </w:p>
    <w:p>
      <w:pPr>
        <w:spacing w:after="80" w:line="276" w:lineRule="auto"/>
      </w:pPr>
      <w:r>
        <w:rPr>
          <w:rFonts w:ascii="Calibri" w:hAnsi="Calibri" w:eastAsia="Calibri"/>
          <w:b w:val="0"/>
          <w:i w:val="0"/>
          <w:color w:val="222222"/>
          <w:sz w:val="19"/>
        </w:rPr>
        <w:t>6. Bank Solvency Certificates &amp; Credit Rating Report</w:t>
      </w:r>
    </w:p>
    <w:p>
      <w:pPr>
        <w:spacing w:after="80" w:line="276" w:lineRule="auto"/>
      </w:pPr>
      <w:r>
        <w:rPr>
          <w:rFonts w:ascii="Calibri" w:hAnsi="Calibri" w:eastAsia="Calibri"/>
          <w:b w:val="0"/>
          <w:i w:val="0"/>
          <w:color w:val="222222"/>
          <w:sz w:val="19"/>
        </w:rPr>
        <w:t>7. Relevant Project Experience &amp; Banking Track Record (Contracts &gt; ৳1 Crore)</w:t>
      </w:r>
    </w:p>
    <w:p>
      <w:pPr>
        <w:spacing w:after="80" w:line="276" w:lineRule="auto"/>
      </w:pPr>
      <w:r>
        <w:rPr>
          <w:rFonts w:ascii="Calibri" w:hAnsi="Calibri" w:eastAsia="Calibri"/>
          <w:b w:val="0"/>
          <w:i w:val="0"/>
          <w:color w:val="222222"/>
          <w:sz w:val="19"/>
        </w:rPr>
        <w:t>8. Litigations &amp; Non-Debarment Statutory Declaration</w:t>
      </w:r>
    </w:p>
    <w:p>
      <w:pPr>
        <w:pStyle w:val="ListBullet"/>
        <w:spacing w:after="40" w:line="276" w:lineRule="auto"/>
      </w:pPr>
      <w:r>
        <w:rPr>
          <w:rFonts w:ascii="Calibri" w:hAnsi="Calibri" w:eastAsia="Calibri"/>
          <w:b/>
          <w:i w:val="0"/>
          <w:color w:val="222222"/>
          <w:sz w:val="19"/>
        </w:rPr>
        <w:t>Core Value Proposition:</w:t>
      </w:r>
      <w:r>
        <w:rPr>
          <w:rFonts w:ascii="Calibri" w:hAnsi="Calibri" w:eastAsia="Calibri"/>
          <w:b w:val="0"/>
          <w:i w:val="0"/>
          <w:color w:val="222222"/>
          <w:sz w:val="19"/>
        </w:rPr>
        <w:t xml:space="preserve"> Pass institutional vendor screening checks effortlessly with pre-verified legal, financial, and tax credentials.</w:t>
      </w:r>
    </w:p>
    <w:p>
      <w:pPr>
        <w:pStyle w:val="ListBullet"/>
        <w:spacing w:after="40" w:line="276" w:lineRule="auto"/>
      </w:pPr>
      <w:r>
        <w:rPr>
          <w:rFonts w:ascii="Calibri" w:hAnsi="Calibri" w:eastAsia="Calibri"/>
          <w:b/>
          <w:i w:val="0"/>
          <w:color w:val="222222"/>
          <w:sz w:val="19"/>
        </w:rPr>
        <w:t>Required Inputs &amp; Exhibits:</w:t>
      </w:r>
      <w:r>
        <w:rPr>
          <w:rFonts w:ascii="Calibri" w:hAnsi="Calibri" w:eastAsia="Calibri"/>
          <w:b w:val="0"/>
          <w:i w:val="0"/>
          <w:color w:val="222222"/>
          <w:sz w:val="19"/>
        </w:rPr>
        <w:t xml:space="preserve"> Scanned corporate certificates, audited balance sheets, solvency letters.</w:t>
      </w:r>
    </w:p>
    <w:p>
      <w:pPr>
        <w:pStyle w:val="ListBullet"/>
        <w:spacing w:after="40" w:line="276" w:lineRule="auto"/>
      </w:pPr>
      <w:r>
        <w:rPr>
          <w:rFonts w:ascii="Calibri" w:hAnsi="Calibri" w:eastAsia="Calibri"/>
          <w:b/>
          <w:i w:val="0"/>
          <w:color w:val="222222"/>
          <w:sz w:val="19"/>
        </w:rPr>
        <w:t>Maintenance Owner:</w:t>
      </w:r>
      <w:r>
        <w:rPr>
          <w:rFonts w:ascii="Calibri" w:hAnsi="Calibri" w:eastAsia="Calibri"/>
          <w:b w:val="0"/>
          <w:i w:val="0"/>
          <w:color w:val="222222"/>
          <w:sz w:val="19"/>
        </w:rPr>
        <w:t xml:space="preserve"> Corporate Legal Counsel &amp; Head of Finance.</w:t>
      </w:r>
    </w:p>
    <w:p>
      <w:pPr>
        <w:keepNext/>
        <w:spacing w:before="160" w:after="40"/>
      </w:pPr>
      <w:r>
        <w:rPr>
          <w:rFonts w:ascii="Calibri" w:hAnsi="Calibri" w:eastAsia="Calibri"/>
          <w:b/>
          <w:i w:val="0"/>
          <w:color w:val="1E2660"/>
          <w:sz w:val="20"/>
        </w:rPr>
        <w:t>DOC-26: 100% Functional Compliance Response Matrix Library</w:t>
      </w:r>
    </w:p>
    <w:p>
      <w:pPr>
        <w:pStyle w:val="ListBullet"/>
        <w:spacing w:after="40" w:line="276" w:lineRule="auto"/>
      </w:pPr>
      <w:r>
        <w:rPr>
          <w:rFonts w:ascii="Calibri" w:hAnsi="Calibri" w:eastAsia="Calibri"/>
          <w:b/>
          <w:i w:val="0"/>
          <w:color w:val="222222"/>
          <w:sz w:val="19"/>
        </w:rPr>
        <w:t>Target File Path:</w:t>
      </w:r>
      <w:r>
        <w:rPr>
          <w:rFonts w:ascii="Calibri" w:hAnsi="Calibri" w:eastAsia="Calibri"/>
          <w:b w:val="0"/>
          <w:i w:val="0"/>
          <w:color w:val="222222"/>
          <w:sz w:val="19"/>
        </w:rPr>
        <w:t xml:space="preserve"> </w:t>
      </w:r>
      <w:r>
        <w:rPr>
          <w:rFonts w:ascii="Consolas" w:hAnsi="Consolas" w:eastAsia="Consolas"/>
          <w:b w:val="0"/>
          <w:i w:val="0"/>
          <w:color w:val="8B0000"/>
          <w:sz w:val="18"/>
        </w:rPr>
        <w:t>business_document/04_rfp_and_tenders/DOC-26_Functional_Compliance_Matrix.md</w:t>
      </w:r>
    </w:p>
    <w:p>
      <w:pPr>
        <w:pStyle w:val="ListBullet"/>
        <w:spacing w:after="40" w:line="276" w:lineRule="auto"/>
      </w:pPr>
      <w:r>
        <w:rPr>
          <w:rFonts w:ascii="Calibri" w:hAnsi="Calibri" w:eastAsia="Calibri"/>
          <w:b/>
          <w:i w:val="0"/>
          <w:color w:val="222222"/>
          <w:sz w:val="19"/>
        </w:rPr>
        <w:t>Lifecycle Phase:</w:t>
      </w:r>
      <w:r>
        <w:rPr>
          <w:rFonts w:ascii="Calibri" w:hAnsi="Calibri" w:eastAsia="Calibri"/>
          <w:b w:val="0"/>
          <w:i w:val="0"/>
          <w:color w:val="222222"/>
          <w:sz w:val="19"/>
        </w:rPr>
        <w:t xml:space="preserve"> RFP Response &amp; Technical Evaluation</w:t>
      </w:r>
    </w:p>
    <w:p>
      <w:pPr>
        <w:pStyle w:val="ListBullet"/>
        <w:spacing w:after="40" w:line="276" w:lineRule="auto"/>
      </w:pPr>
      <w:r>
        <w:rPr>
          <w:rFonts w:ascii="Calibri" w:hAnsi="Calibri" w:eastAsia="Calibri"/>
          <w:b/>
          <w:i w:val="0"/>
          <w:color w:val="222222"/>
          <w:sz w:val="19"/>
        </w:rPr>
        <w:t>Target Audience:</w:t>
      </w:r>
      <w:r>
        <w:rPr>
          <w:rFonts w:ascii="Calibri" w:hAnsi="Calibri" w:eastAsia="Calibri"/>
          <w:b w:val="0"/>
          <w:i w:val="0"/>
          <w:color w:val="222222"/>
          <w:sz w:val="19"/>
        </w:rPr>
        <w:t xml:space="preserve"> Bank Technical RFP Evaluation Committees, External IT Auditors</w:t>
      </w:r>
    </w:p>
    <w:p>
      <w:pPr>
        <w:pStyle w:val="ListBullet"/>
        <w:spacing w:after="40" w:line="276" w:lineRule="auto"/>
      </w:pPr>
      <w:r>
        <w:rPr>
          <w:rFonts w:ascii="Calibri" w:hAnsi="Calibri" w:eastAsia="Calibri"/>
          <w:b/>
          <w:i w:val="0"/>
          <w:color w:val="222222"/>
          <w:sz w:val="19"/>
        </w:rPr>
        <w:t>Operational Purpose:</w:t>
      </w:r>
      <w:r>
        <w:rPr>
          <w:rFonts w:ascii="Calibri" w:hAnsi="Calibri" w:eastAsia="Calibri"/>
          <w:b w:val="0"/>
          <w:i w:val="0"/>
          <w:color w:val="222222"/>
          <w:sz w:val="19"/>
        </w:rPr>
        <w:t xml:space="preserve"> An exhaustive, cross-referenced compliance library answering 160+ standard banking RFP functional requirements, categorized as "Fully Supported Out-of-the-Box (O)", "Configurable (C)", or "Custom Development (CD)".</w:t>
      </w:r>
    </w:p>
    <w:p>
      <w:pPr>
        <w:pStyle w:val="ListBullet"/>
        <w:spacing w:after="40" w:line="276" w:lineRule="auto"/>
      </w:pPr>
      <w:r>
        <w:rPr>
          <w:rFonts w:ascii="Calibri" w:hAnsi="Calibri" w:eastAsia="Calibri"/>
          <w:b/>
          <w:i w:val="0"/>
          <w:color w:val="222222"/>
          <w:sz w:val="19"/>
        </w:rPr>
        <w:t>Detailed Table of Contents:</w:t>
      </w:r>
    </w:p>
    <w:p>
      <w:pPr>
        <w:spacing w:after="80" w:line="276" w:lineRule="auto"/>
      </w:pPr>
      <w:r>
        <w:rPr>
          <w:rFonts w:ascii="Calibri" w:hAnsi="Calibri" w:eastAsia="Calibri"/>
          <w:b w:val="0"/>
          <w:i w:val="0"/>
          <w:color w:val="222222"/>
          <w:sz w:val="19"/>
        </w:rPr>
        <w:t>1. Compliance Scoring Legend &amp; Methodology</w:t>
      </w:r>
    </w:p>
    <w:p>
      <w:pPr>
        <w:spacing w:after="80" w:line="276" w:lineRule="auto"/>
      </w:pPr>
      <w:r>
        <w:rPr>
          <w:rFonts w:ascii="Calibri" w:hAnsi="Calibri" w:eastAsia="Calibri"/>
          <w:b w:val="0"/>
          <w:i w:val="0"/>
          <w:color w:val="222222"/>
          <w:sz w:val="19"/>
        </w:rPr>
        <w:t>2. Section 1: Customer Onboarding, e-KYC &amp; NIDW Verification (15 Requirements)</w:t>
      </w:r>
    </w:p>
    <w:p>
      <w:pPr>
        <w:spacing w:after="80" w:line="276" w:lineRule="auto"/>
      </w:pPr>
      <w:r>
        <w:rPr>
          <w:rFonts w:ascii="Calibri" w:hAnsi="Calibri" w:eastAsia="Calibri"/>
          <w:b w:val="0"/>
          <w:i w:val="0"/>
          <w:color w:val="222222"/>
          <w:sz w:val="19"/>
        </w:rPr>
        <w:t>3. Section 2: Loan Origination &amp; BOCC Credit Memo Workflow (25 Requirements)</w:t>
      </w:r>
    </w:p>
    <w:p>
      <w:pPr>
        <w:spacing w:after="80" w:line="276" w:lineRule="auto"/>
      </w:pPr>
      <w:r>
        <w:rPr>
          <w:rFonts w:ascii="Calibri" w:hAnsi="Calibri" w:eastAsia="Calibri"/>
          <w:b w:val="0"/>
          <w:i w:val="0"/>
          <w:color w:val="222222"/>
          <w:sz w:val="19"/>
        </w:rPr>
        <w:t>4. Section 3: CIB Online Real-Time Inquiry &amp; Deduplication (15 Requirements)</w:t>
      </w:r>
    </w:p>
    <w:p>
      <w:pPr>
        <w:spacing w:after="80" w:line="276" w:lineRule="auto"/>
      </w:pPr>
      <w:r>
        <w:rPr>
          <w:rFonts w:ascii="Calibri" w:hAnsi="Calibri" w:eastAsia="Calibri"/>
          <w:b w:val="0"/>
          <w:i w:val="0"/>
          <w:color w:val="222222"/>
          <w:sz w:val="19"/>
        </w:rPr>
        <w:t>5. Section 4: Credit Underwriting, DBR Calculation &amp; Scorecard Engine (20 Requirements)</w:t>
      </w:r>
    </w:p>
    <w:p>
      <w:pPr>
        <w:spacing w:after="80" w:line="276" w:lineRule="auto"/>
      </w:pPr>
      <w:r>
        <w:rPr>
          <w:rFonts w:ascii="Calibri" w:hAnsi="Calibri" w:eastAsia="Calibri"/>
          <w:b w:val="0"/>
          <w:i w:val="0"/>
          <w:color w:val="222222"/>
          <w:sz w:val="19"/>
        </w:rPr>
        <w:t>6. Section 5: Multi-Level Approval Hierarchy &amp; Digital Signatures (15 Requirements)</w:t>
      </w:r>
    </w:p>
    <w:p>
      <w:pPr>
        <w:spacing w:after="80" w:line="276" w:lineRule="auto"/>
      </w:pPr>
      <w:r>
        <w:rPr>
          <w:rFonts w:ascii="Calibri" w:hAnsi="Calibri" w:eastAsia="Calibri"/>
          <w:b w:val="0"/>
          <w:i w:val="0"/>
          <w:color w:val="222222"/>
          <w:sz w:val="19"/>
        </w:rPr>
        <w:t>7. Section 6: CBS Limit Loading &amp; Multi-Method Disbursement (15 Requirements)</w:t>
      </w:r>
    </w:p>
    <w:p>
      <w:pPr>
        <w:spacing w:after="80" w:line="276" w:lineRule="auto"/>
      </w:pPr>
      <w:r>
        <w:rPr>
          <w:rFonts w:ascii="Calibri" w:hAnsi="Calibri" w:eastAsia="Calibri"/>
          <w:b w:val="0"/>
          <w:i w:val="0"/>
          <w:color w:val="222222"/>
          <w:sz w:val="19"/>
        </w:rPr>
        <w:t>8. Section 7: Loan Servicing, Amortization, Rescheduling &amp; Restructuring (20 Requirements)</w:t>
      </w:r>
    </w:p>
    <w:p>
      <w:pPr>
        <w:spacing w:after="80" w:line="276" w:lineRule="auto"/>
      </w:pPr>
      <w:r>
        <w:rPr>
          <w:rFonts w:ascii="Calibri" w:hAnsi="Calibri" w:eastAsia="Calibri"/>
          <w:b w:val="0"/>
          <w:i w:val="0"/>
          <w:color w:val="222222"/>
          <w:sz w:val="19"/>
        </w:rPr>
        <w:t>9. Section 8: Collections, DPD Tracking &amp; NPA Management (15 Requirements)</w:t>
      </w:r>
    </w:p>
    <w:p>
      <w:pPr>
        <w:spacing w:after="80" w:line="276" w:lineRule="auto"/>
      </w:pPr>
      <w:r>
        <w:rPr>
          <w:rFonts w:ascii="Calibri" w:hAnsi="Calibri" w:eastAsia="Calibri"/>
          <w:b w:val="0"/>
          <w:i w:val="0"/>
          <w:color w:val="222222"/>
          <w:sz w:val="19"/>
        </w:rPr>
        <w:t>10. Section 9: Bangladesh Bank Regulatory Returns &amp; BRPD 15/2024 Compliance (20 Requirements)</w:t>
      </w:r>
    </w:p>
    <w:p>
      <w:pPr>
        <w:pStyle w:val="ListBullet"/>
        <w:spacing w:after="40" w:line="276" w:lineRule="auto"/>
      </w:pPr>
      <w:r>
        <w:rPr>
          <w:rFonts w:ascii="Calibri" w:hAnsi="Calibri" w:eastAsia="Calibri"/>
          <w:b/>
          <w:i w:val="0"/>
          <w:color w:val="222222"/>
          <w:sz w:val="19"/>
        </w:rPr>
        <w:t>Core Value Proposition:</w:t>
      </w:r>
      <w:r>
        <w:rPr>
          <w:rFonts w:ascii="Calibri" w:hAnsi="Calibri" w:eastAsia="Calibri"/>
          <w:b w:val="0"/>
          <w:i w:val="0"/>
          <w:color w:val="222222"/>
          <w:sz w:val="19"/>
        </w:rPr>
        <w:t xml:space="preserve"> Defend a 100% compliance rating in banking tenders, proving that ULMS meets or exceeds every mandatory tender clause.</w:t>
      </w:r>
    </w:p>
    <w:p>
      <w:pPr>
        <w:pStyle w:val="ListBullet"/>
        <w:spacing w:after="40" w:line="276" w:lineRule="auto"/>
      </w:pPr>
      <w:r>
        <w:rPr>
          <w:rFonts w:ascii="Calibri" w:hAnsi="Calibri" w:eastAsia="Calibri"/>
          <w:b/>
          <w:i w:val="0"/>
          <w:color w:val="222222"/>
          <w:sz w:val="19"/>
        </w:rPr>
        <w:t>Required Inputs &amp; Exhibits:</w:t>
      </w:r>
      <w:r>
        <w:rPr>
          <w:rFonts w:ascii="Calibri" w:hAnsi="Calibri" w:eastAsia="Calibri"/>
          <w:b w:val="0"/>
          <w:i w:val="0"/>
          <w:color w:val="222222"/>
          <w:sz w:val="19"/>
        </w:rPr>
        <w:t xml:space="preserve"> Master functional traceability matrix, feature evidence citations.</w:t>
      </w:r>
    </w:p>
    <w:p>
      <w:pPr>
        <w:pStyle w:val="ListBullet"/>
        <w:spacing w:after="40" w:line="276" w:lineRule="auto"/>
      </w:pPr>
      <w:r>
        <w:rPr>
          <w:rFonts w:ascii="Calibri" w:hAnsi="Calibri" w:eastAsia="Calibri"/>
          <w:b/>
          <w:i w:val="0"/>
          <w:color w:val="222222"/>
          <w:sz w:val="19"/>
        </w:rPr>
        <w:t>Maintenance Owner:</w:t>
      </w:r>
      <w:r>
        <w:rPr>
          <w:rFonts w:ascii="Calibri" w:hAnsi="Calibri" w:eastAsia="Calibri"/>
          <w:b w:val="0"/>
          <w:i w:val="0"/>
          <w:color w:val="222222"/>
          <w:sz w:val="19"/>
        </w:rPr>
        <w:t xml:space="preserve"> Lead Systems Architect &amp; Senior Business Analyst.</w:t>
      </w:r>
    </w:p>
    <w:p>
      <w:pPr>
        <w:keepNext/>
        <w:spacing w:before="160" w:after="40"/>
      </w:pPr>
      <w:r>
        <w:rPr>
          <w:rFonts w:ascii="Calibri" w:hAnsi="Calibri" w:eastAsia="Calibri"/>
          <w:b/>
          <w:i w:val="0"/>
          <w:color w:val="1E2660"/>
          <w:sz w:val="20"/>
        </w:rPr>
        <w:t>DOC-27: System Architecture &amp; Core Banking Integration Annex</w:t>
      </w:r>
    </w:p>
    <w:p>
      <w:pPr>
        <w:pStyle w:val="ListBullet"/>
        <w:spacing w:after="40" w:line="276" w:lineRule="auto"/>
      </w:pPr>
      <w:r>
        <w:rPr>
          <w:rFonts w:ascii="Calibri" w:hAnsi="Calibri" w:eastAsia="Calibri"/>
          <w:b/>
          <w:i w:val="0"/>
          <w:color w:val="222222"/>
          <w:sz w:val="19"/>
        </w:rPr>
        <w:t>Target File Path:</w:t>
      </w:r>
      <w:r>
        <w:rPr>
          <w:rFonts w:ascii="Calibri" w:hAnsi="Calibri" w:eastAsia="Calibri"/>
          <w:b w:val="0"/>
          <w:i w:val="0"/>
          <w:color w:val="222222"/>
          <w:sz w:val="19"/>
        </w:rPr>
        <w:t xml:space="preserve"> </w:t>
      </w:r>
      <w:r>
        <w:rPr>
          <w:rFonts w:ascii="Consolas" w:hAnsi="Consolas" w:eastAsia="Consolas"/>
          <w:b w:val="0"/>
          <w:i w:val="0"/>
          <w:color w:val="8B0000"/>
          <w:sz w:val="18"/>
        </w:rPr>
        <w:t>business_document/04_rfp_and_tenders/DOC-27_Architecture_Integration_Annex.md</w:t>
      </w:r>
    </w:p>
    <w:p>
      <w:pPr>
        <w:pStyle w:val="ListBullet"/>
        <w:spacing w:after="40" w:line="276" w:lineRule="auto"/>
      </w:pPr>
      <w:r>
        <w:rPr>
          <w:rFonts w:ascii="Calibri" w:hAnsi="Calibri" w:eastAsia="Calibri"/>
          <w:b/>
          <w:i w:val="0"/>
          <w:color w:val="222222"/>
          <w:sz w:val="19"/>
        </w:rPr>
        <w:t>Lifecycle Phase:</w:t>
      </w:r>
      <w:r>
        <w:rPr>
          <w:rFonts w:ascii="Calibri" w:hAnsi="Calibri" w:eastAsia="Calibri"/>
          <w:b w:val="0"/>
          <w:i w:val="0"/>
          <w:color w:val="222222"/>
          <w:sz w:val="19"/>
        </w:rPr>
        <w:t xml:space="preserve"> Technical Evaluation &amp; Architecture Review</w:t>
      </w:r>
    </w:p>
    <w:p>
      <w:pPr>
        <w:pStyle w:val="ListBullet"/>
        <w:spacing w:after="40" w:line="276" w:lineRule="auto"/>
      </w:pPr>
      <w:r>
        <w:rPr>
          <w:rFonts w:ascii="Calibri" w:hAnsi="Calibri" w:eastAsia="Calibri"/>
          <w:b/>
          <w:i w:val="0"/>
          <w:color w:val="222222"/>
          <w:sz w:val="19"/>
        </w:rPr>
        <w:t>Target Audience:</w:t>
      </w:r>
      <w:r>
        <w:rPr>
          <w:rFonts w:ascii="Calibri" w:hAnsi="Calibri" w:eastAsia="Calibri"/>
          <w:b w:val="0"/>
          <w:i w:val="0"/>
          <w:color w:val="222222"/>
          <w:sz w:val="19"/>
        </w:rPr>
        <w:t xml:space="preserve"> Bank Chief Technology Officers, Enterprise Architects, IT Security Committees</w:t>
      </w:r>
    </w:p>
    <w:p>
      <w:pPr>
        <w:pStyle w:val="ListBullet"/>
        <w:spacing w:after="40" w:line="276" w:lineRule="auto"/>
      </w:pPr>
      <w:r>
        <w:rPr>
          <w:rFonts w:ascii="Calibri" w:hAnsi="Calibri" w:eastAsia="Calibri"/>
          <w:b/>
          <w:i w:val="0"/>
          <w:color w:val="222222"/>
          <w:sz w:val="19"/>
        </w:rPr>
        <w:t>Operational Purpose:</w:t>
      </w:r>
      <w:r>
        <w:rPr>
          <w:rFonts w:ascii="Calibri" w:hAnsi="Calibri" w:eastAsia="Calibri"/>
          <w:b w:val="0"/>
          <w:i w:val="0"/>
          <w:color w:val="222222"/>
          <w:sz w:val="19"/>
        </w:rPr>
        <w:t xml:space="preserve"> Deep technical annex detailing how ULMS integrates into the bank’s existing IT ecosystem, detailing connectors for CBS, CIB, NIDW, SMS/Email, and MFS rails.</w:t>
      </w:r>
    </w:p>
    <w:p>
      <w:pPr>
        <w:pStyle w:val="ListBullet"/>
        <w:spacing w:after="40" w:line="276" w:lineRule="auto"/>
      </w:pPr>
      <w:r>
        <w:rPr>
          <w:rFonts w:ascii="Calibri" w:hAnsi="Calibri" w:eastAsia="Calibri"/>
          <w:b/>
          <w:i w:val="0"/>
          <w:color w:val="222222"/>
          <w:sz w:val="19"/>
        </w:rPr>
        <w:t>Detailed Table of Contents:</w:t>
      </w:r>
    </w:p>
    <w:p>
      <w:pPr>
        <w:spacing w:after="80" w:line="276" w:lineRule="auto"/>
      </w:pPr>
      <w:r>
        <w:rPr>
          <w:rFonts w:ascii="Calibri" w:hAnsi="Calibri" w:eastAsia="Calibri"/>
          <w:b w:val="0"/>
          <w:i w:val="0"/>
          <w:color w:val="222222"/>
          <w:sz w:val="19"/>
        </w:rPr>
        <w:t>1. Architectural Philosophy: The Spring Boot 4 / PostgreSQL 17 Modular Monolith (ADR-001)</w:t>
      </w:r>
    </w:p>
    <w:p>
      <w:pPr>
        <w:spacing w:after="80" w:line="276" w:lineRule="auto"/>
      </w:pPr>
      <w:r>
        <w:rPr>
          <w:rFonts w:ascii="Calibri" w:hAnsi="Calibri" w:eastAsia="Calibri"/>
          <w:b w:val="0"/>
          <w:i w:val="0"/>
          <w:color w:val="222222"/>
          <w:sz w:val="19"/>
        </w:rPr>
        <w:t>2. Core Banking System (CBS) Integration Architecture: REST, SOAP, and Database Staging Tables</w:t>
      </w:r>
    </w:p>
    <w:p>
      <w:pPr>
        <w:spacing w:after="80" w:line="276" w:lineRule="auto"/>
      </w:pPr>
      <w:r>
        <w:rPr>
          <w:rFonts w:ascii="Calibri" w:hAnsi="Calibri" w:eastAsia="Calibri"/>
          <w:b w:val="0"/>
          <w:i w:val="0"/>
          <w:color w:val="222222"/>
          <w:sz w:val="19"/>
        </w:rPr>
        <w:t>3. Integration Specifications for Leading CBS in Bangladesh:</w:t>
      </w:r>
    </w:p>
    <w:p>
      <w:pPr>
        <w:pStyle w:val="ListBullet"/>
        <w:spacing w:after="40" w:line="276" w:lineRule="auto"/>
        <w:ind w:left="680"/>
      </w:pPr>
      <w:r>
        <w:rPr>
          <w:rFonts w:ascii="Calibri" w:hAnsi="Calibri" w:eastAsia="Calibri"/>
          <w:b w:val="0"/>
          <w:i w:val="0"/>
          <w:color w:val="222222"/>
          <w:sz w:val="19"/>
        </w:rPr>
        <w:t>Temenos T24 / Transact (REST APIs &amp; OFS Messages)</w:t>
      </w:r>
    </w:p>
    <w:p>
      <w:pPr>
        <w:pStyle w:val="ListBullet"/>
        <w:spacing w:after="40" w:line="276" w:lineRule="auto"/>
        <w:ind w:left="680"/>
      </w:pPr>
      <w:r>
        <w:rPr>
          <w:rFonts w:ascii="Calibri" w:hAnsi="Calibri" w:eastAsia="Calibri"/>
          <w:b w:val="0"/>
          <w:i w:val="0"/>
          <w:color w:val="222222"/>
          <w:sz w:val="19"/>
        </w:rPr>
        <w:t>Oracle FLEXCUBE (REST Web Services &amp; FCUBS Interfaces)</w:t>
      </w:r>
    </w:p>
    <w:p>
      <w:pPr>
        <w:pStyle w:val="ListBullet"/>
        <w:spacing w:after="40" w:line="276" w:lineRule="auto"/>
        <w:ind w:left="680"/>
      </w:pPr>
      <w:r>
        <w:rPr>
          <w:rFonts w:ascii="Calibri" w:hAnsi="Calibri" w:eastAsia="Calibri"/>
          <w:b w:val="0"/>
          <w:i w:val="0"/>
          <w:color w:val="222222"/>
          <w:sz w:val="19"/>
        </w:rPr>
        <w:t>Infosys Finacle (FI Connectors &amp; XML Payloads)</w:t>
      </w:r>
    </w:p>
    <w:p>
      <w:pPr>
        <w:pStyle w:val="ListBullet"/>
        <w:spacing w:after="40" w:line="276" w:lineRule="auto"/>
        <w:ind w:left="680"/>
      </w:pPr>
      <w:r>
        <w:rPr>
          <w:rFonts w:ascii="Calibri" w:hAnsi="Calibri" w:eastAsia="Calibri"/>
          <w:b w:val="0"/>
          <w:i w:val="0"/>
          <w:color w:val="222222"/>
          <w:sz w:val="19"/>
        </w:rPr>
        <w:t>Flora Bank (Direct Enterprise DB Connectors &amp; Staging Tables)</w:t>
      </w:r>
    </w:p>
    <w:p>
      <w:pPr>
        <w:pStyle w:val="ListBullet"/>
        <w:spacing w:after="40" w:line="276" w:lineRule="auto"/>
        <w:ind w:left="680"/>
      </w:pPr>
      <w:r>
        <w:rPr>
          <w:rFonts w:ascii="Calibri" w:hAnsi="Calibri" w:eastAsia="Calibri"/>
          <w:b w:val="0"/>
          <w:i w:val="0"/>
          <w:color w:val="222222"/>
          <w:sz w:val="19"/>
        </w:rPr>
        <w:t>BankUltimus (RESTful Micro-APIs)</w:t>
      </w:r>
    </w:p>
    <w:p>
      <w:pPr>
        <w:spacing w:after="80" w:line="276" w:lineRule="auto"/>
      </w:pPr>
      <w:r>
        <w:rPr>
          <w:rFonts w:ascii="Calibri" w:hAnsi="Calibri" w:eastAsia="Calibri"/>
          <w:b w:val="0"/>
          <w:i w:val="0"/>
          <w:color w:val="222222"/>
          <w:sz w:val="19"/>
        </w:rPr>
        <w:t>4. Bangladesh Bank CIB Online Integration: Automated Inquiry &amp; Monthly Text/CSV Batch Exports</w:t>
      </w:r>
    </w:p>
    <w:p>
      <w:pPr>
        <w:spacing w:after="80" w:line="276" w:lineRule="auto"/>
      </w:pPr>
      <w:r>
        <w:rPr>
          <w:rFonts w:ascii="Calibri" w:hAnsi="Calibri" w:eastAsia="Calibri"/>
          <w:b w:val="0"/>
          <w:i w:val="0"/>
          <w:color w:val="222222"/>
          <w:sz w:val="19"/>
        </w:rPr>
        <w:t>5. Election Commission NIDW &amp; Porichoy e-KYC Biometric Interface</w:t>
      </w:r>
    </w:p>
    <w:p>
      <w:pPr>
        <w:spacing w:after="80" w:line="276" w:lineRule="auto"/>
      </w:pPr>
      <w:r>
        <w:rPr>
          <w:rFonts w:ascii="Calibri" w:hAnsi="Calibri" w:eastAsia="Calibri"/>
          <w:b w:val="0"/>
          <w:i w:val="0"/>
          <w:color w:val="222222"/>
          <w:sz w:val="19"/>
        </w:rPr>
        <w:t>6. Mobile Financial Services (MFS) &amp; Payment Gateways (bKash, Nagad, Rocket, NPSB, BEFTN, RTGS)</w:t>
      </w:r>
    </w:p>
    <w:p>
      <w:pPr>
        <w:spacing w:after="80" w:line="276" w:lineRule="auto"/>
      </w:pPr>
      <w:r>
        <w:rPr>
          <w:rFonts w:ascii="Calibri" w:hAnsi="Calibri" w:eastAsia="Calibri"/>
          <w:b w:val="0"/>
          <w:i w:val="0"/>
          <w:color w:val="222222"/>
          <w:sz w:val="19"/>
        </w:rPr>
        <w:t>7. High Availability, Failover &amp; Database Replication Strategy</w:t>
      </w:r>
    </w:p>
    <w:p>
      <w:pPr>
        <w:pStyle w:val="ListBullet"/>
        <w:spacing w:after="40" w:line="276" w:lineRule="auto"/>
      </w:pPr>
      <w:r>
        <w:rPr>
          <w:rFonts w:ascii="Calibri" w:hAnsi="Calibri" w:eastAsia="Calibri"/>
          <w:b/>
          <w:i w:val="0"/>
          <w:color w:val="222222"/>
          <w:sz w:val="19"/>
        </w:rPr>
        <w:t>Core Value Proposition:</w:t>
      </w:r>
      <w:r>
        <w:rPr>
          <w:rFonts w:ascii="Calibri" w:hAnsi="Calibri" w:eastAsia="Calibri"/>
          <w:b w:val="0"/>
          <w:i w:val="0"/>
          <w:color w:val="222222"/>
          <w:sz w:val="19"/>
        </w:rPr>
        <w:t xml:space="preserve"> Reassure the bank’s IT team that ULMS connects smoothly into their existing legacy core banking environment without requiring risky core overhauls.</w:t>
      </w:r>
    </w:p>
    <w:p>
      <w:pPr>
        <w:pStyle w:val="ListBullet"/>
        <w:spacing w:after="40" w:line="276" w:lineRule="auto"/>
      </w:pPr>
      <w:r>
        <w:rPr>
          <w:rFonts w:ascii="Calibri" w:hAnsi="Calibri" w:eastAsia="Calibri"/>
          <w:b/>
          <w:i w:val="0"/>
          <w:color w:val="222222"/>
          <w:sz w:val="19"/>
        </w:rPr>
        <w:t>Required Inputs &amp; Exhibits:</w:t>
      </w:r>
      <w:r>
        <w:rPr>
          <w:rFonts w:ascii="Calibri" w:hAnsi="Calibri" w:eastAsia="Calibri"/>
          <w:b w:val="0"/>
          <w:i w:val="0"/>
          <w:color w:val="222222"/>
          <w:sz w:val="19"/>
        </w:rPr>
        <w:t xml:space="preserve"> Interface sequence diagrams, API endpoint specifications, network topology diagrams.</w:t>
      </w:r>
    </w:p>
    <w:p>
      <w:pPr>
        <w:pStyle w:val="ListBullet"/>
        <w:spacing w:after="40" w:line="276" w:lineRule="auto"/>
      </w:pPr>
      <w:r>
        <w:rPr>
          <w:rFonts w:ascii="Calibri" w:hAnsi="Calibri" w:eastAsia="Calibri"/>
          <w:b/>
          <w:i w:val="0"/>
          <w:color w:val="222222"/>
          <w:sz w:val="19"/>
        </w:rPr>
        <w:t>Maintenance Owner:</w:t>
      </w:r>
      <w:r>
        <w:rPr>
          <w:rFonts w:ascii="Calibri" w:hAnsi="Calibri" w:eastAsia="Calibri"/>
          <w:b w:val="0"/>
          <w:i w:val="0"/>
          <w:color w:val="222222"/>
          <w:sz w:val="19"/>
        </w:rPr>
        <w:t xml:space="preserve"> Principal Integration Architect.</w:t>
      </w:r>
    </w:p>
    <w:p>
      <w:pPr>
        <w:keepNext/>
        <w:spacing w:before="160" w:after="40"/>
      </w:pPr>
      <w:r>
        <w:rPr>
          <w:rFonts w:ascii="Calibri" w:hAnsi="Calibri" w:eastAsia="Calibri"/>
          <w:b/>
          <w:i w:val="0"/>
          <w:color w:val="1E2660"/>
          <w:sz w:val="20"/>
        </w:rPr>
        <w:t>DOC-28: ICT Security, Data Sovereignty &amp; Audit Compliance Annex</w:t>
      </w:r>
    </w:p>
    <w:p>
      <w:pPr>
        <w:pStyle w:val="ListBullet"/>
        <w:spacing w:after="40" w:line="276" w:lineRule="auto"/>
      </w:pPr>
      <w:r>
        <w:rPr>
          <w:rFonts w:ascii="Calibri" w:hAnsi="Calibri" w:eastAsia="Calibri"/>
          <w:b/>
          <w:i w:val="0"/>
          <w:color w:val="222222"/>
          <w:sz w:val="19"/>
        </w:rPr>
        <w:t>Target File Path:</w:t>
      </w:r>
      <w:r>
        <w:rPr>
          <w:rFonts w:ascii="Calibri" w:hAnsi="Calibri" w:eastAsia="Calibri"/>
          <w:b w:val="0"/>
          <w:i w:val="0"/>
          <w:color w:val="222222"/>
          <w:sz w:val="19"/>
        </w:rPr>
        <w:t xml:space="preserve"> </w:t>
      </w:r>
      <w:r>
        <w:rPr>
          <w:rFonts w:ascii="Consolas" w:hAnsi="Consolas" w:eastAsia="Consolas"/>
          <w:b w:val="0"/>
          <w:i w:val="0"/>
          <w:color w:val="8B0000"/>
          <w:sz w:val="18"/>
        </w:rPr>
        <w:t>business_document/04_rfp_and_tenders/DOC-28_ICT_Security_Compliance_Annex.md</w:t>
      </w:r>
    </w:p>
    <w:p>
      <w:pPr>
        <w:pStyle w:val="ListBullet"/>
        <w:spacing w:after="40" w:line="276" w:lineRule="auto"/>
      </w:pPr>
      <w:r>
        <w:rPr>
          <w:rFonts w:ascii="Calibri" w:hAnsi="Calibri" w:eastAsia="Calibri"/>
          <w:b/>
          <w:i w:val="0"/>
          <w:color w:val="222222"/>
          <w:sz w:val="19"/>
        </w:rPr>
        <w:t>Lifecycle Phase:</w:t>
      </w:r>
      <w:r>
        <w:rPr>
          <w:rFonts w:ascii="Calibri" w:hAnsi="Calibri" w:eastAsia="Calibri"/>
          <w:b w:val="0"/>
          <w:i w:val="0"/>
          <w:color w:val="222222"/>
          <w:sz w:val="19"/>
        </w:rPr>
        <w:t xml:space="preserve"> IT Security Assessment &amp; Compliance Sign-Off</w:t>
      </w:r>
    </w:p>
    <w:p>
      <w:pPr>
        <w:pStyle w:val="ListBullet"/>
        <w:spacing w:after="40" w:line="276" w:lineRule="auto"/>
      </w:pPr>
      <w:r>
        <w:rPr>
          <w:rFonts w:ascii="Calibri" w:hAnsi="Calibri" w:eastAsia="Calibri"/>
          <w:b/>
          <w:i w:val="0"/>
          <w:color w:val="222222"/>
          <w:sz w:val="19"/>
        </w:rPr>
        <w:t>Target Audience:</w:t>
      </w:r>
      <w:r>
        <w:rPr>
          <w:rFonts w:ascii="Calibri" w:hAnsi="Calibri" w:eastAsia="Calibri"/>
          <w:b w:val="0"/>
          <w:i w:val="0"/>
          <w:color w:val="222222"/>
          <w:sz w:val="19"/>
        </w:rPr>
        <w:t xml:space="preserve"> Chief Information Security Officers (CISOs), Internal Control &amp; Compliance (ICC) Heads</w:t>
      </w:r>
    </w:p>
    <w:p>
      <w:pPr>
        <w:pStyle w:val="ListBullet"/>
        <w:spacing w:after="40" w:line="276" w:lineRule="auto"/>
      </w:pPr>
      <w:r>
        <w:rPr>
          <w:rFonts w:ascii="Calibri" w:hAnsi="Calibri" w:eastAsia="Calibri"/>
          <w:b/>
          <w:i w:val="0"/>
          <w:color w:val="222222"/>
          <w:sz w:val="19"/>
        </w:rPr>
        <w:t>Operational Purpose:</w:t>
      </w:r>
      <w:r>
        <w:rPr>
          <w:rFonts w:ascii="Calibri" w:hAnsi="Calibri" w:eastAsia="Calibri"/>
          <w:b w:val="0"/>
          <w:i w:val="0"/>
          <w:color w:val="222222"/>
          <w:sz w:val="19"/>
        </w:rPr>
        <w:t xml:space="preserve"> Rigorous security dossier proving that ULMS complies completely with the </w:t>
      </w:r>
      <w:r>
        <w:rPr>
          <w:rFonts w:ascii="Calibri" w:hAnsi="Calibri" w:eastAsia="Calibri"/>
          <w:b/>
          <w:i w:val="0"/>
          <w:color w:val="222222"/>
          <w:sz w:val="19"/>
        </w:rPr>
        <w:t>Bangladesh Bank ICT Security Guidelines V4.0</w:t>
      </w:r>
      <w:r>
        <w:rPr>
          <w:rFonts w:ascii="Calibri" w:hAnsi="Calibri" w:eastAsia="Calibri"/>
          <w:b w:val="0"/>
          <w:i w:val="0"/>
          <w:color w:val="222222"/>
          <w:sz w:val="19"/>
        </w:rPr>
        <w:t>, PCI-DSS, ISO 27001, and local data sovereignty laws.</w:t>
      </w:r>
    </w:p>
    <w:p>
      <w:pPr>
        <w:pStyle w:val="ListBullet"/>
        <w:spacing w:after="40" w:line="276" w:lineRule="auto"/>
      </w:pPr>
      <w:r>
        <w:rPr>
          <w:rFonts w:ascii="Calibri" w:hAnsi="Calibri" w:eastAsia="Calibri"/>
          <w:b/>
          <w:i w:val="0"/>
          <w:color w:val="222222"/>
          <w:sz w:val="19"/>
        </w:rPr>
        <w:t>Detailed Table of Contents:</w:t>
      </w:r>
    </w:p>
    <w:p>
      <w:pPr>
        <w:spacing w:after="80" w:line="276" w:lineRule="auto"/>
      </w:pPr>
      <w:r>
        <w:rPr>
          <w:rFonts w:ascii="Calibri" w:hAnsi="Calibri" w:eastAsia="Calibri"/>
          <w:b w:val="0"/>
          <w:i w:val="0"/>
          <w:color w:val="222222"/>
          <w:sz w:val="19"/>
        </w:rPr>
        <w:t>1. Compliance Statement: Bangladesh Bank ICT Security Guidelines V4.0 Clause-by-Clause Alignment</w:t>
      </w:r>
    </w:p>
    <w:p>
      <w:pPr>
        <w:spacing w:after="80" w:line="276" w:lineRule="auto"/>
      </w:pPr>
      <w:r>
        <w:rPr>
          <w:rFonts w:ascii="Calibri" w:hAnsi="Calibri" w:eastAsia="Calibri"/>
          <w:b w:val="0"/>
          <w:i w:val="0"/>
          <w:color w:val="222222"/>
          <w:sz w:val="19"/>
        </w:rPr>
        <w:t>2. Cryptographic Architecture: AES-256 Data-at-Rest Encryption &amp; TLS 1.3 Data-in-Transit Enforcements</w:t>
      </w:r>
    </w:p>
    <w:p>
      <w:pPr>
        <w:spacing w:after="80" w:line="276" w:lineRule="auto"/>
      </w:pPr>
      <w:r>
        <w:rPr>
          <w:rFonts w:ascii="Calibri" w:hAnsi="Calibri" w:eastAsia="Calibri"/>
          <w:b w:val="0"/>
          <w:i w:val="0"/>
          <w:color w:val="222222"/>
          <w:sz w:val="19"/>
        </w:rPr>
        <w:t>3. Authentication &amp; Access Governance: Keycloak 26 Identity, OAuth 2.0 / OIDC, Multi-Factor Authentication (MFA), Granular RBAC</w:t>
      </w:r>
    </w:p>
    <w:p>
      <w:pPr>
        <w:spacing w:after="80" w:line="276" w:lineRule="auto"/>
      </w:pPr>
      <w:r>
        <w:rPr>
          <w:rFonts w:ascii="Calibri" w:hAnsi="Calibri" w:eastAsia="Calibri"/>
          <w:b w:val="0"/>
          <w:i w:val="0"/>
          <w:color w:val="222222"/>
          <w:sz w:val="19"/>
        </w:rPr>
        <w:t>4. Four-Eye Principle (Maker-Checker): Dual-Authorization Enforcements Across All Critical Financial Transactions</w:t>
      </w:r>
    </w:p>
    <w:p>
      <w:pPr>
        <w:spacing w:after="80" w:line="276" w:lineRule="auto"/>
      </w:pPr>
      <w:r>
        <w:rPr>
          <w:rFonts w:ascii="Calibri" w:hAnsi="Calibri" w:eastAsia="Calibri"/>
          <w:b w:val="0"/>
          <w:i w:val="0"/>
          <w:color w:val="222222"/>
          <w:sz w:val="19"/>
        </w:rPr>
        <w:t>5. Immutable Audit Logging: Tamper-Evident Audit Trails with IP, User, Timestamp, and State Change Capture</w:t>
      </w:r>
    </w:p>
    <w:p>
      <w:pPr>
        <w:spacing w:after="80" w:line="276" w:lineRule="auto"/>
      </w:pPr>
      <w:r>
        <w:rPr>
          <w:rFonts w:ascii="Calibri" w:hAnsi="Calibri" w:eastAsia="Calibri"/>
          <w:b w:val="0"/>
          <w:i w:val="0"/>
          <w:color w:val="222222"/>
          <w:sz w:val="19"/>
        </w:rPr>
        <w:t>6. Vulnerability Management: Zero Known Critical/High CVEs, Annual Third-Party VAPT Certification</w:t>
      </w:r>
    </w:p>
    <w:p>
      <w:pPr>
        <w:spacing w:after="80" w:line="276" w:lineRule="auto"/>
      </w:pPr>
      <w:r>
        <w:rPr>
          <w:rFonts w:ascii="Calibri" w:hAnsi="Calibri" w:eastAsia="Calibri"/>
          <w:b w:val="0"/>
          <w:i w:val="0"/>
          <w:color w:val="222222"/>
          <w:sz w:val="19"/>
        </w:rPr>
        <w:t>7. Data Sovereignty &amp; Privacy: Complete Local Data Hosting, Zero Cross-Border Telemetry, Air-Gapped Operation</w:t>
      </w:r>
    </w:p>
    <w:p>
      <w:pPr>
        <w:pStyle w:val="ListBullet"/>
        <w:spacing w:after="40" w:line="276" w:lineRule="auto"/>
      </w:pPr>
      <w:r>
        <w:rPr>
          <w:rFonts w:ascii="Calibri" w:hAnsi="Calibri" w:eastAsia="Calibri"/>
          <w:b/>
          <w:i w:val="0"/>
          <w:color w:val="222222"/>
          <w:sz w:val="19"/>
        </w:rPr>
        <w:t>Core Value Proposition:</w:t>
      </w:r>
      <w:r>
        <w:rPr>
          <w:rFonts w:ascii="Calibri" w:hAnsi="Calibri" w:eastAsia="Calibri"/>
          <w:b w:val="0"/>
          <w:i w:val="0"/>
          <w:color w:val="222222"/>
          <w:sz w:val="19"/>
        </w:rPr>
        <w:t xml:space="preserve"> Neutralize every security concern and satisfy the most demanding bank CISO and internal audit committee.</w:t>
      </w:r>
    </w:p>
    <w:p>
      <w:pPr>
        <w:pStyle w:val="ListBullet"/>
        <w:spacing w:after="40" w:line="276" w:lineRule="auto"/>
      </w:pPr>
      <w:r>
        <w:rPr>
          <w:rFonts w:ascii="Calibri" w:hAnsi="Calibri" w:eastAsia="Calibri"/>
          <w:b/>
          <w:i w:val="0"/>
          <w:color w:val="222222"/>
          <w:sz w:val="19"/>
        </w:rPr>
        <w:t>Required Inputs &amp; Exhibits:</w:t>
      </w:r>
      <w:r>
        <w:rPr>
          <w:rFonts w:ascii="Calibri" w:hAnsi="Calibri" w:eastAsia="Calibri"/>
          <w:b w:val="0"/>
          <w:i w:val="0"/>
          <w:color w:val="222222"/>
          <w:sz w:val="19"/>
        </w:rPr>
        <w:t xml:space="preserve"> Security certificate summaries, audit trail data dictionary, vulnerability scan summary.</w:t>
      </w:r>
    </w:p>
    <w:p>
      <w:pPr>
        <w:pStyle w:val="ListBullet"/>
        <w:spacing w:after="40" w:line="276" w:lineRule="auto"/>
      </w:pPr>
      <w:r>
        <w:rPr>
          <w:rFonts w:ascii="Calibri" w:hAnsi="Calibri" w:eastAsia="Calibri"/>
          <w:b/>
          <w:i w:val="0"/>
          <w:color w:val="222222"/>
          <w:sz w:val="19"/>
        </w:rPr>
        <w:t>Maintenance Owner:</w:t>
      </w:r>
      <w:r>
        <w:rPr>
          <w:rFonts w:ascii="Calibri" w:hAnsi="Calibri" w:eastAsia="Calibri"/>
          <w:b w:val="0"/>
          <w:i w:val="0"/>
          <w:color w:val="222222"/>
          <w:sz w:val="19"/>
        </w:rPr>
        <w:t xml:space="preserve"> Head of Information Security &amp; Compliance.</w:t>
      </w:r>
    </w:p>
    <w:p>
      <w:pPr>
        <w:keepNext/>
        <w:spacing w:before="160" w:after="40"/>
      </w:pPr>
      <w:r>
        <w:rPr>
          <w:rFonts w:ascii="Calibri" w:hAnsi="Calibri" w:eastAsia="Calibri"/>
          <w:b/>
          <w:i w:val="0"/>
          <w:color w:val="1E2660"/>
          <w:sz w:val="20"/>
        </w:rPr>
        <w:t>DOC-29: Implementation Methodology &amp; Project Governance Schedule</w:t>
      </w:r>
    </w:p>
    <w:p>
      <w:pPr>
        <w:pStyle w:val="ListBullet"/>
        <w:spacing w:after="40" w:line="276" w:lineRule="auto"/>
      </w:pPr>
      <w:r>
        <w:rPr>
          <w:rFonts w:ascii="Calibri" w:hAnsi="Calibri" w:eastAsia="Calibri"/>
          <w:b/>
          <w:i w:val="0"/>
          <w:color w:val="222222"/>
          <w:sz w:val="19"/>
        </w:rPr>
        <w:t>Target File Path:</w:t>
      </w:r>
      <w:r>
        <w:rPr>
          <w:rFonts w:ascii="Calibri" w:hAnsi="Calibri" w:eastAsia="Calibri"/>
          <w:b w:val="0"/>
          <w:i w:val="0"/>
          <w:color w:val="222222"/>
          <w:sz w:val="19"/>
        </w:rPr>
        <w:t xml:space="preserve"> </w:t>
      </w:r>
      <w:r>
        <w:rPr>
          <w:rFonts w:ascii="Consolas" w:hAnsi="Consolas" w:eastAsia="Consolas"/>
          <w:b w:val="0"/>
          <w:i w:val="0"/>
          <w:color w:val="8B0000"/>
          <w:sz w:val="18"/>
        </w:rPr>
        <w:t>business_document/04_rfp_and_tenders/DOC-29_Implementation_Methodology.md</w:t>
      </w:r>
    </w:p>
    <w:p>
      <w:pPr>
        <w:pStyle w:val="ListBullet"/>
        <w:spacing w:after="40" w:line="276" w:lineRule="auto"/>
      </w:pPr>
      <w:r>
        <w:rPr>
          <w:rFonts w:ascii="Calibri" w:hAnsi="Calibri" w:eastAsia="Calibri"/>
          <w:b/>
          <w:i w:val="0"/>
          <w:color w:val="222222"/>
          <w:sz w:val="19"/>
        </w:rPr>
        <w:t>Lifecycle Phase:</w:t>
      </w:r>
      <w:r>
        <w:rPr>
          <w:rFonts w:ascii="Calibri" w:hAnsi="Calibri" w:eastAsia="Calibri"/>
          <w:b w:val="0"/>
          <w:i w:val="0"/>
          <w:color w:val="222222"/>
          <w:sz w:val="19"/>
        </w:rPr>
        <w:t xml:space="preserve"> Project Planning &amp; Tender Evaluation</w:t>
      </w:r>
    </w:p>
    <w:p>
      <w:pPr>
        <w:pStyle w:val="ListBullet"/>
        <w:spacing w:after="40" w:line="276" w:lineRule="auto"/>
      </w:pPr>
      <w:r>
        <w:rPr>
          <w:rFonts w:ascii="Calibri" w:hAnsi="Calibri" w:eastAsia="Calibri"/>
          <w:b/>
          <w:i w:val="0"/>
          <w:color w:val="222222"/>
          <w:sz w:val="19"/>
        </w:rPr>
        <w:t>Target Audience:</w:t>
      </w:r>
      <w:r>
        <w:rPr>
          <w:rFonts w:ascii="Calibri" w:hAnsi="Calibri" w:eastAsia="Calibri"/>
          <w:b w:val="0"/>
          <w:i w:val="0"/>
          <w:color w:val="222222"/>
          <w:sz w:val="19"/>
        </w:rPr>
        <w:t xml:space="preserve"> Bank Project Management Office (PMO), Steering Committees, Implementation Leads</w:t>
      </w:r>
    </w:p>
    <w:p>
      <w:pPr>
        <w:pStyle w:val="ListBullet"/>
        <w:spacing w:after="40" w:line="276" w:lineRule="auto"/>
      </w:pPr>
      <w:r>
        <w:rPr>
          <w:rFonts w:ascii="Calibri" w:hAnsi="Calibri" w:eastAsia="Calibri"/>
          <w:b/>
          <w:i w:val="0"/>
          <w:color w:val="222222"/>
          <w:sz w:val="19"/>
        </w:rPr>
        <w:t>Operational Purpose:</w:t>
      </w:r>
      <w:r>
        <w:rPr>
          <w:rFonts w:ascii="Calibri" w:hAnsi="Calibri" w:eastAsia="Calibri"/>
          <w:b w:val="0"/>
          <w:i w:val="0"/>
          <w:color w:val="222222"/>
          <w:sz w:val="19"/>
        </w:rPr>
        <w:t xml:space="preserve"> Authoritative project delivery roadmap outlining Unisoft’s proven 12-week pilot-to-rollout implementation framework.</w:t>
      </w:r>
    </w:p>
    <w:p>
      <w:pPr>
        <w:pStyle w:val="ListBullet"/>
        <w:spacing w:after="40" w:line="276" w:lineRule="auto"/>
      </w:pPr>
      <w:r>
        <w:rPr>
          <w:rFonts w:ascii="Calibri" w:hAnsi="Calibri" w:eastAsia="Calibri"/>
          <w:b/>
          <w:i w:val="0"/>
          <w:color w:val="222222"/>
          <w:sz w:val="19"/>
        </w:rPr>
        <w:t>Detailed Table of Contents:</w:t>
      </w:r>
    </w:p>
    <w:p>
      <w:pPr>
        <w:spacing w:after="80" w:line="276" w:lineRule="auto"/>
      </w:pPr>
      <w:r>
        <w:rPr>
          <w:rFonts w:ascii="Calibri" w:hAnsi="Calibri" w:eastAsia="Calibri"/>
          <w:b w:val="0"/>
          <w:i w:val="0"/>
          <w:color w:val="222222"/>
          <w:sz w:val="19"/>
        </w:rPr>
        <w:t>1. Implementation Methodology: Hybrid Agile-Waterfall Delivery Framework for Core Banking</w:t>
      </w:r>
    </w:p>
    <w:p>
      <w:pPr>
        <w:spacing w:after="80" w:line="276" w:lineRule="auto"/>
      </w:pPr>
      <w:r>
        <w:rPr>
          <w:rFonts w:ascii="Calibri" w:hAnsi="Calibri" w:eastAsia="Calibri"/>
          <w:b w:val="0"/>
          <w:i w:val="0"/>
          <w:color w:val="222222"/>
          <w:sz w:val="19"/>
        </w:rPr>
        <w:t>2. The 5-Phase Project Lifecycle:</w:t>
      </w:r>
    </w:p>
    <w:p>
      <w:pPr>
        <w:pStyle w:val="ListBullet"/>
        <w:spacing w:after="40" w:line="276" w:lineRule="auto"/>
        <w:ind w:left="680"/>
      </w:pPr>
      <w:r>
        <w:rPr>
          <w:rFonts w:ascii="Calibri" w:hAnsi="Calibri" w:eastAsia="Calibri"/>
          <w:b w:val="0"/>
          <w:i w:val="0"/>
          <w:color w:val="222222"/>
          <w:sz w:val="19"/>
        </w:rPr>
        <w:t>Phase 0: Project Initiation, Environment Bring-Up &amp; Infrastructure Sizing (Weeks 1–2)</w:t>
      </w:r>
    </w:p>
    <w:p>
      <w:pPr>
        <w:pStyle w:val="ListBullet"/>
        <w:spacing w:after="40" w:line="276" w:lineRule="auto"/>
        <w:ind w:left="680"/>
      </w:pPr>
      <w:r>
        <w:rPr>
          <w:rFonts w:ascii="Calibri" w:hAnsi="Calibri" w:eastAsia="Calibri"/>
          <w:b w:val="0"/>
          <w:i w:val="0"/>
          <w:color w:val="222222"/>
          <w:sz w:val="19"/>
        </w:rPr>
        <w:t>Phase 1: Business Requirements Localization &amp; Gap Analysis (Weeks 3–4)</w:t>
      </w:r>
    </w:p>
    <w:p>
      <w:pPr>
        <w:pStyle w:val="ListBullet"/>
        <w:spacing w:after="40" w:line="276" w:lineRule="auto"/>
        <w:ind w:left="680"/>
      </w:pPr>
      <w:r>
        <w:rPr>
          <w:rFonts w:ascii="Calibri" w:hAnsi="Calibri" w:eastAsia="Calibri"/>
          <w:b w:val="0"/>
          <w:i w:val="0"/>
          <w:color w:val="222222"/>
          <w:sz w:val="19"/>
        </w:rPr>
        <w:t>Phase 2: CBS &amp; External Rails Integration, Data Mapping (Weeks 5–7)</w:t>
      </w:r>
    </w:p>
    <w:p>
      <w:pPr>
        <w:pStyle w:val="ListBullet"/>
        <w:spacing w:after="40" w:line="276" w:lineRule="auto"/>
        <w:ind w:left="680"/>
      </w:pPr>
      <w:r>
        <w:rPr>
          <w:rFonts w:ascii="Calibri" w:hAnsi="Calibri" w:eastAsia="Calibri"/>
          <w:b w:val="0"/>
          <w:i w:val="0"/>
          <w:color w:val="222222"/>
          <w:sz w:val="19"/>
        </w:rPr>
        <w:t>Phase 3: User Acceptance Testing (UAT), Pilot Branch Deployment &amp; Training (Weeks 8–10)</w:t>
      </w:r>
    </w:p>
    <w:p>
      <w:pPr>
        <w:pStyle w:val="ListBullet"/>
        <w:spacing w:after="40" w:line="276" w:lineRule="auto"/>
        <w:ind w:left="680"/>
      </w:pPr>
      <w:r>
        <w:rPr>
          <w:rFonts w:ascii="Calibri" w:hAnsi="Calibri" w:eastAsia="Calibri"/>
          <w:b w:val="0"/>
          <w:i w:val="0"/>
          <w:color w:val="222222"/>
          <w:sz w:val="19"/>
        </w:rPr>
        <w:t>Phase 4: Parallel Run, Security Audit &amp; Full Commercial Go-Live (Weeks 11–12)</w:t>
      </w:r>
    </w:p>
    <w:p>
      <w:pPr>
        <w:spacing w:after="80" w:line="276" w:lineRule="auto"/>
      </w:pPr>
      <w:r>
        <w:rPr>
          <w:rFonts w:ascii="Calibri" w:hAnsi="Calibri" w:eastAsia="Calibri"/>
          <w:b w:val="0"/>
          <w:i w:val="0"/>
          <w:color w:val="222222"/>
          <w:sz w:val="19"/>
        </w:rPr>
        <w:t>3. Project Governance Structure: Joint Steering Committee (JSC), Project Management Committee (PMC), Working Groups</w:t>
      </w:r>
    </w:p>
    <w:p>
      <w:pPr>
        <w:spacing w:after="80" w:line="276" w:lineRule="auto"/>
      </w:pPr>
      <w:r>
        <w:rPr>
          <w:rFonts w:ascii="Calibri" w:hAnsi="Calibri" w:eastAsia="Calibri"/>
          <w:b w:val="0"/>
          <w:i w:val="0"/>
          <w:color w:val="222222"/>
          <w:sz w:val="19"/>
        </w:rPr>
        <w:t>4. Risk Management &amp; Mitigation Framework: Scope Creep, Integration Bottlenecks, Data Cleansing Delays</w:t>
      </w:r>
    </w:p>
    <w:p>
      <w:pPr>
        <w:spacing w:after="80" w:line="276" w:lineRule="auto"/>
      </w:pPr>
      <w:r>
        <w:rPr>
          <w:rFonts w:ascii="Calibri" w:hAnsi="Calibri" w:eastAsia="Calibri"/>
          <w:b w:val="0"/>
          <w:i w:val="0"/>
          <w:color w:val="222222"/>
          <w:sz w:val="19"/>
        </w:rPr>
        <w:t>5. Change Management, Branch Training &amp; Institutional Capacity Building Program</w:t>
      </w:r>
    </w:p>
    <w:p>
      <w:pPr>
        <w:pStyle w:val="ListBullet"/>
        <w:spacing w:after="40" w:line="276" w:lineRule="auto"/>
      </w:pPr>
      <w:r>
        <w:rPr>
          <w:rFonts w:ascii="Calibri" w:hAnsi="Calibri" w:eastAsia="Calibri"/>
          <w:b/>
          <w:i w:val="0"/>
          <w:color w:val="222222"/>
          <w:sz w:val="19"/>
        </w:rPr>
        <w:t>Core Value Proposition:</w:t>
      </w:r>
      <w:r>
        <w:rPr>
          <w:rFonts w:ascii="Calibri" w:hAnsi="Calibri" w:eastAsia="Calibri"/>
          <w:b w:val="0"/>
          <w:i w:val="0"/>
          <w:color w:val="222222"/>
          <w:sz w:val="19"/>
        </w:rPr>
        <w:t xml:space="preserve"> Guarantee project predictability and assure bank leadership that ULMS will go live on schedule without operational disruption.</w:t>
      </w:r>
    </w:p>
    <w:p>
      <w:pPr>
        <w:pStyle w:val="ListBullet"/>
        <w:spacing w:after="40" w:line="276" w:lineRule="auto"/>
      </w:pPr>
      <w:r>
        <w:rPr>
          <w:rFonts w:ascii="Calibri" w:hAnsi="Calibri" w:eastAsia="Calibri"/>
          <w:b/>
          <w:i w:val="0"/>
          <w:color w:val="222222"/>
          <w:sz w:val="19"/>
        </w:rPr>
        <w:t>Required Inputs &amp; Exhibits:</w:t>
      </w:r>
      <w:r>
        <w:rPr>
          <w:rFonts w:ascii="Calibri" w:hAnsi="Calibri" w:eastAsia="Calibri"/>
          <w:b w:val="0"/>
          <w:i w:val="0"/>
          <w:color w:val="222222"/>
          <w:sz w:val="19"/>
        </w:rPr>
        <w:t xml:space="preserve"> Master Gantt chart, RACI governance matrix, risk register template.</w:t>
      </w:r>
    </w:p>
    <w:p>
      <w:pPr>
        <w:pStyle w:val="ListBullet"/>
        <w:spacing w:after="40" w:line="276" w:lineRule="auto"/>
      </w:pPr>
      <w:r>
        <w:rPr>
          <w:rFonts w:ascii="Calibri" w:hAnsi="Calibri" w:eastAsia="Calibri"/>
          <w:b/>
          <w:i w:val="0"/>
          <w:color w:val="222222"/>
          <w:sz w:val="19"/>
        </w:rPr>
        <w:t>Maintenance Owner:</w:t>
      </w:r>
      <w:r>
        <w:rPr>
          <w:rFonts w:ascii="Calibri" w:hAnsi="Calibri" w:eastAsia="Calibri"/>
          <w:b w:val="0"/>
          <w:i w:val="0"/>
          <w:color w:val="222222"/>
          <w:sz w:val="19"/>
        </w:rPr>
        <w:t xml:space="preserve"> Director of Professional Services &amp; Project Delivery.</w:t>
      </w:r>
    </w:p>
    <w:p>
      <w:pPr>
        <w:keepNext/>
        <w:spacing w:before="160" w:after="40"/>
      </w:pPr>
      <w:r>
        <w:rPr>
          <w:rFonts w:ascii="Calibri" w:hAnsi="Calibri" w:eastAsia="Calibri"/>
          <w:b/>
          <w:i w:val="0"/>
          <w:color w:val="1E2660"/>
          <w:sz w:val="20"/>
        </w:rPr>
        <w:t>DOC-30: Disaster Recovery, SLA &amp; 24/7 Local Support Commitment Framework</w:t>
      </w:r>
    </w:p>
    <w:p>
      <w:pPr>
        <w:pStyle w:val="ListBullet"/>
        <w:spacing w:after="40" w:line="276" w:lineRule="auto"/>
      </w:pPr>
      <w:r>
        <w:rPr>
          <w:rFonts w:ascii="Calibri" w:hAnsi="Calibri" w:eastAsia="Calibri"/>
          <w:b/>
          <w:i w:val="0"/>
          <w:color w:val="222222"/>
          <w:sz w:val="19"/>
        </w:rPr>
        <w:t>Target File Path:</w:t>
      </w:r>
      <w:r>
        <w:rPr>
          <w:rFonts w:ascii="Calibri" w:hAnsi="Calibri" w:eastAsia="Calibri"/>
          <w:b w:val="0"/>
          <w:i w:val="0"/>
          <w:color w:val="222222"/>
          <w:sz w:val="19"/>
        </w:rPr>
        <w:t xml:space="preserve"> </w:t>
      </w:r>
      <w:r>
        <w:rPr>
          <w:rFonts w:ascii="Consolas" w:hAnsi="Consolas" w:eastAsia="Consolas"/>
          <w:b w:val="0"/>
          <w:i w:val="0"/>
          <w:color w:val="8B0000"/>
          <w:sz w:val="18"/>
        </w:rPr>
        <w:t>business_document/04_rfp_and_tenders/DOC-30_SLA_Local_Support_Framework.md</w:t>
      </w:r>
    </w:p>
    <w:p>
      <w:pPr>
        <w:pStyle w:val="ListBullet"/>
        <w:spacing w:after="40" w:line="276" w:lineRule="auto"/>
      </w:pPr>
      <w:r>
        <w:rPr>
          <w:rFonts w:ascii="Calibri" w:hAnsi="Calibri" w:eastAsia="Calibri"/>
          <w:b/>
          <w:i w:val="0"/>
          <w:color w:val="222222"/>
          <w:sz w:val="19"/>
        </w:rPr>
        <w:t>Lifecycle Phase:</w:t>
      </w:r>
      <w:r>
        <w:rPr>
          <w:rFonts w:ascii="Calibri" w:hAnsi="Calibri" w:eastAsia="Calibri"/>
          <w:b w:val="0"/>
          <w:i w:val="0"/>
          <w:color w:val="222222"/>
          <w:sz w:val="19"/>
        </w:rPr>
        <w:t xml:space="preserve"> Commercial Proposal &amp; Contract Negotiation</w:t>
      </w:r>
    </w:p>
    <w:p>
      <w:pPr>
        <w:pStyle w:val="ListBullet"/>
        <w:spacing w:after="40" w:line="276" w:lineRule="auto"/>
      </w:pPr>
      <w:r>
        <w:rPr>
          <w:rFonts w:ascii="Calibri" w:hAnsi="Calibri" w:eastAsia="Calibri"/>
          <w:b/>
          <w:i w:val="0"/>
          <w:color w:val="222222"/>
          <w:sz w:val="19"/>
        </w:rPr>
        <w:t>Target Audience:</w:t>
      </w:r>
      <w:r>
        <w:rPr>
          <w:rFonts w:ascii="Calibri" w:hAnsi="Calibri" w:eastAsia="Calibri"/>
          <w:b w:val="0"/>
          <w:i w:val="0"/>
          <w:color w:val="222222"/>
          <w:sz w:val="19"/>
        </w:rPr>
        <w:t xml:space="preserve"> Head of ICT Infrastructure, Head of Operations, Procurement Directorate</w:t>
      </w:r>
    </w:p>
    <w:p>
      <w:pPr>
        <w:pStyle w:val="ListBullet"/>
        <w:spacing w:after="40" w:line="276" w:lineRule="auto"/>
      </w:pPr>
      <w:r>
        <w:rPr>
          <w:rFonts w:ascii="Calibri" w:hAnsi="Calibri" w:eastAsia="Calibri"/>
          <w:b/>
          <w:i w:val="0"/>
          <w:color w:val="222222"/>
          <w:sz w:val="19"/>
        </w:rPr>
        <w:t>Operational Purpose:</w:t>
      </w:r>
      <w:r>
        <w:rPr>
          <w:rFonts w:ascii="Calibri" w:hAnsi="Calibri" w:eastAsia="Calibri"/>
          <w:b w:val="0"/>
          <w:i w:val="0"/>
          <w:color w:val="222222"/>
          <w:sz w:val="19"/>
        </w:rPr>
        <w:t xml:space="preserve"> Formal commitments regarding system uptime (99.9%), Disaster Recovery (DR) Recovery Point Objective (RPO) and Recovery Time Objective (RTO), and Dhaka-based 24/7 technical support tiers.</w:t>
      </w:r>
    </w:p>
    <w:p>
      <w:pPr>
        <w:pStyle w:val="ListBullet"/>
        <w:spacing w:after="40" w:line="276" w:lineRule="auto"/>
      </w:pPr>
      <w:r>
        <w:rPr>
          <w:rFonts w:ascii="Calibri" w:hAnsi="Calibri" w:eastAsia="Calibri"/>
          <w:b/>
          <w:i w:val="0"/>
          <w:color w:val="222222"/>
          <w:sz w:val="19"/>
        </w:rPr>
        <w:t>Detailed Table of Contents:</w:t>
      </w:r>
    </w:p>
    <w:p>
      <w:pPr>
        <w:spacing w:after="80" w:line="276" w:lineRule="auto"/>
      </w:pPr>
      <w:r>
        <w:rPr>
          <w:rFonts w:ascii="Calibri" w:hAnsi="Calibri" w:eastAsia="Calibri"/>
          <w:b w:val="0"/>
          <w:i w:val="0"/>
          <w:color w:val="222222"/>
          <w:sz w:val="19"/>
        </w:rPr>
        <w:t>1. Service Level Philosophy: High Availability as a Non-Negotiable Core Banking Mandate</w:t>
      </w:r>
    </w:p>
    <w:p>
      <w:pPr>
        <w:spacing w:after="80" w:line="276" w:lineRule="auto"/>
      </w:pPr>
      <w:r>
        <w:rPr>
          <w:rFonts w:ascii="Calibri" w:hAnsi="Calibri" w:eastAsia="Calibri"/>
          <w:b w:val="0"/>
          <w:i w:val="0"/>
          <w:color w:val="222222"/>
          <w:sz w:val="19"/>
        </w:rPr>
        <w:t>2. High Availability Guarantees: 99.9% Application Availability (Excluding Scheduled Maintenance)</w:t>
      </w:r>
    </w:p>
    <w:p>
      <w:pPr>
        <w:spacing w:after="80" w:line="276" w:lineRule="auto"/>
      </w:pPr>
      <w:r>
        <w:rPr>
          <w:rFonts w:ascii="Calibri" w:hAnsi="Calibri" w:eastAsia="Calibri"/>
          <w:b w:val="0"/>
          <w:i w:val="0"/>
          <w:color w:val="222222"/>
          <w:sz w:val="19"/>
        </w:rPr>
        <w:t>3. Disaster Recovery Metrics: RPO &lt; 15 Minutes; RTO &lt; 2 Hours; Automated Database Failover</w:t>
      </w:r>
    </w:p>
    <w:p>
      <w:pPr>
        <w:spacing w:after="80" w:line="276" w:lineRule="auto"/>
      </w:pPr>
      <w:r>
        <w:rPr>
          <w:rFonts w:ascii="Calibri" w:hAnsi="Calibri" w:eastAsia="Calibri"/>
          <w:b w:val="0"/>
          <w:i w:val="0"/>
          <w:color w:val="222222"/>
          <w:sz w:val="19"/>
        </w:rPr>
        <w:t>4. Local Support Infrastructure: Dedicated Engineering Center at Youth Tower, Begum Rokeya Sarani, Dhaka</w:t>
      </w:r>
    </w:p>
    <w:p>
      <w:pPr>
        <w:spacing w:after="80" w:line="276" w:lineRule="auto"/>
      </w:pPr>
      <w:r>
        <w:rPr>
          <w:rFonts w:ascii="Calibri" w:hAnsi="Calibri" w:eastAsia="Calibri"/>
          <w:b w:val="0"/>
          <w:i w:val="0"/>
          <w:color w:val="222222"/>
          <w:sz w:val="19"/>
        </w:rPr>
        <w:t>5. Support Severity Levels &amp; Guaranteed Response/Resolution Times:</w:t>
      </w:r>
    </w:p>
    <w:p>
      <w:pPr>
        <w:pStyle w:val="ListBullet"/>
        <w:spacing w:after="40" w:line="276" w:lineRule="auto"/>
        <w:ind w:left="680"/>
      </w:pPr>
      <w:r>
        <w:rPr>
          <w:rFonts w:ascii="Calibri" w:hAnsi="Calibri" w:eastAsia="Calibri"/>
          <w:b w:val="0"/>
          <w:i w:val="0"/>
          <w:color w:val="222222"/>
          <w:sz w:val="19"/>
        </w:rPr>
        <w:t>Severity 1 (Critical Outage): 15-Minute Response; 2-Hour Workaround / Fix</w:t>
      </w:r>
    </w:p>
    <w:p>
      <w:pPr>
        <w:pStyle w:val="ListBullet"/>
        <w:spacing w:after="40" w:line="276" w:lineRule="auto"/>
        <w:ind w:left="680"/>
      </w:pPr>
      <w:r>
        <w:rPr>
          <w:rFonts w:ascii="Calibri" w:hAnsi="Calibri" w:eastAsia="Calibri"/>
          <w:b w:val="0"/>
          <w:i w:val="0"/>
          <w:color w:val="222222"/>
          <w:sz w:val="19"/>
        </w:rPr>
        <w:t>Severity 2 (Major Degradation): 1-Hour Response; 6-Hour Resolution</w:t>
      </w:r>
    </w:p>
    <w:p>
      <w:pPr>
        <w:pStyle w:val="ListBullet"/>
        <w:spacing w:after="40" w:line="276" w:lineRule="auto"/>
        <w:ind w:left="680"/>
      </w:pPr>
      <w:r>
        <w:rPr>
          <w:rFonts w:ascii="Calibri" w:hAnsi="Calibri" w:eastAsia="Calibri"/>
          <w:b w:val="0"/>
          <w:i w:val="0"/>
          <w:color w:val="222222"/>
          <w:sz w:val="19"/>
        </w:rPr>
        <w:t>Severity 3 (Minor Defect): 4-Hour Response; 24-Hour Resolution</w:t>
      </w:r>
    </w:p>
    <w:p>
      <w:pPr>
        <w:pStyle w:val="ListBullet"/>
        <w:spacing w:after="40" w:line="276" w:lineRule="auto"/>
        <w:ind w:left="680"/>
      </w:pPr>
      <w:r>
        <w:rPr>
          <w:rFonts w:ascii="Calibri" w:hAnsi="Calibri" w:eastAsia="Calibri"/>
          <w:b w:val="0"/>
          <w:i w:val="0"/>
          <w:color w:val="222222"/>
          <w:sz w:val="19"/>
        </w:rPr>
        <w:t>Severity 4 (Cosmetic / Query): Next Business Day Response</w:t>
      </w:r>
    </w:p>
    <w:p>
      <w:pPr>
        <w:spacing w:after="80" w:line="276" w:lineRule="auto"/>
      </w:pPr>
      <w:r>
        <w:rPr>
          <w:rFonts w:ascii="Calibri" w:hAnsi="Calibri" w:eastAsia="Calibri"/>
          <w:b w:val="0"/>
          <w:i w:val="0"/>
          <w:color w:val="222222"/>
          <w:sz w:val="19"/>
        </w:rPr>
        <w:t>6. Multi-Channel Support Access: Dedicated 24/7 Hotline, Online Ticket Portal, On-Site Resident Engineers</w:t>
      </w:r>
    </w:p>
    <w:p>
      <w:pPr>
        <w:spacing w:after="80" w:line="276" w:lineRule="auto"/>
      </w:pPr>
      <w:r>
        <w:rPr>
          <w:rFonts w:ascii="Calibri" w:hAnsi="Calibri" w:eastAsia="Calibri"/>
          <w:b w:val="0"/>
          <w:i w:val="0"/>
          <w:color w:val="222222"/>
          <w:sz w:val="19"/>
        </w:rPr>
        <w:t>7. Quarterly Service Level Reviews &amp; Continuous Performance Optimization</w:t>
      </w:r>
    </w:p>
    <w:p>
      <w:pPr>
        <w:pStyle w:val="ListBullet"/>
        <w:spacing w:after="40" w:line="276" w:lineRule="auto"/>
      </w:pPr>
      <w:r>
        <w:rPr>
          <w:rFonts w:ascii="Calibri" w:hAnsi="Calibri" w:eastAsia="Calibri"/>
          <w:b/>
          <w:i w:val="0"/>
          <w:color w:val="222222"/>
          <w:sz w:val="19"/>
        </w:rPr>
        <w:t>Core Value Proposition:</w:t>
      </w:r>
      <w:r>
        <w:rPr>
          <w:rFonts w:ascii="Calibri" w:hAnsi="Calibri" w:eastAsia="Calibri"/>
          <w:b w:val="0"/>
          <w:i w:val="0"/>
          <w:color w:val="222222"/>
          <w:sz w:val="19"/>
        </w:rPr>
        <w:t xml:space="preserve"> Win against foreign competitors by proving that Unisoft engineers can be physically on-site at the bank's data center within 30 minutes in an emergency.</w:t>
      </w:r>
    </w:p>
    <w:p>
      <w:pPr>
        <w:pStyle w:val="ListBullet"/>
        <w:spacing w:after="40" w:line="276" w:lineRule="auto"/>
      </w:pPr>
      <w:r>
        <w:rPr>
          <w:rFonts w:ascii="Calibri" w:hAnsi="Calibri" w:eastAsia="Calibri"/>
          <w:b/>
          <w:i w:val="0"/>
          <w:color w:val="222222"/>
          <w:sz w:val="19"/>
        </w:rPr>
        <w:t>Required Inputs &amp; Exhibits:</w:t>
      </w:r>
      <w:r>
        <w:rPr>
          <w:rFonts w:ascii="Calibri" w:hAnsi="Calibri" w:eastAsia="Calibri"/>
          <w:b w:val="0"/>
          <w:i w:val="0"/>
          <w:color w:val="222222"/>
          <w:sz w:val="19"/>
        </w:rPr>
        <w:t xml:space="preserve"> SLA severity escalation matrix, DR replication schematic.</w:t>
      </w:r>
    </w:p>
    <w:p>
      <w:pPr>
        <w:pStyle w:val="ListBullet"/>
        <w:spacing w:after="40" w:line="276" w:lineRule="auto"/>
      </w:pPr>
      <w:r>
        <w:rPr>
          <w:rFonts w:ascii="Calibri" w:hAnsi="Calibri" w:eastAsia="Calibri"/>
          <w:b/>
          <w:i w:val="0"/>
          <w:color w:val="222222"/>
          <w:sz w:val="19"/>
        </w:rPr>
        <w:t>Maintenance Owner:</w:t>
      </w:r>
      <w:r>
        <w:rPr>
          <w:rFonts w:ascii="Calibri" w:hAnsi="Calibri" w:eastAsia="Calibri"/>
          <w:b w:val="0"/>
          <w:i w:val="0"/>
          <w:color w:val="222222"/>
          <w:sz w:val="19"/>
        </w:rPr>
        <w:t xml:space="preserve"> Head of Customer Support &amp; Infrastructure Operations.</w:t>
      </w:r>
    </w:p>
    <w:p>
      <w:pPr>
        <w:pStyle w:val="Heading3"/>
        <w:keepNext/>
      </w:pPr>
      <w:r>
        <w:t>CATEGORY 5: COMMERCIAL MODELS, PRICING &amp; TCO/ROI JUSTIFICATION (CAT-05)</w:t>
      </w:r>
    </w:p>
    <w:p>
      <w:pPr>
        <w:keepNext/>
        <w:spacing w:before="160" w:after="40"/>
      </w:pPr>
      <w:r>
        <w:rPr>
          <w:rFonts w:ascii="Calibri" w:hAnsi="Calibri" w:eastAsia="Calibri"/>
          <w:b/>
          <w:i w:val="0"/>
          <w:color w:val="1E2660"/>
          <w:sz w:val="20"/>
        </w:rPr>
        <w:t>DOC-31: Commercial Pricing Model &amp; Licensing Matrix</w:t>
      </w:r>
    </w:p>
    <w:p>
      <w:pPr>
        <w:pStyle w:val="ListBullet"/>
        <w:spacing w:after="40" w:line="276" w:lineRule="auto"/>
      </w:pPr>
      <w:r>
        <w:rPr>
          <w:rFonts w:ascii="Calibri" w:hAnsi="Calibri" w:eastAsia="Calibri"/>
          <w:b/>
          <w:i w:val="0"/>
          <w:color w:val="222222"/>
          <w:sz w:val="19"/>
        </w:rPr>
        <w:t>Target File Path:</w:t>
      </w:r>
      <w:r>
        <w:rPr>
          <w:rFonts w:ascii="Calibri" w:hAnsi="Calibri" w:eastAsia="Calibri"/>
          <w:b w:val="0"/>
          <w:i w:val="0"/>
          <w:color w:val="222222"/>
          <w:sz w:val="19"/>
        </w:rPr>
        <w:t xml:space="preserve"> </w:t>
      </w:r>
      <w:r>
        <w:rPr>
          <w:rFonts w:ascii="Consolas" w:hAnsi="Consolas" w:eastAsia="Consolas"/>
          <w:b w:val="0"/>
          <w:i w:val="0"/>
          <w:color w:val="8B0000"/>
          <w:sz w:val="18"/>
        </w:rPr>
        <w:t>business_document/05_commercial_and_pricing/DOC-31_Commercial_Pricing_Matrix.md</w:t>
      </w:r>
    </w:p>
    <w:p>
      <w:pPr>
        <w:pStyle w:val="ListBullet"/>
        <w:spacing w:after="40" w:line="276" w:lineRule="auto"/>
      </w:pPr>
      <w:r>
        <w:rPr>
          <w:rFonts w:ascii="Calibri" w:hAnsi="Calibri" w:eastAsia="Calibri"/>
          <w:b/>
          <w:i w:val="0"/>
          <w:color w:val="222222"/>
          <w:sz w:val="19"/>
        </w:rPr>
        <w:t>Lifecycle Phase:</w:t>
      </w:r>
      <w:r>
        <w:rPr>
          <w:rFonts w:ascii="Calibri" w:hAnsi="Calibri" w:eastAsia="Calibri"/>
          <w:b w:val="0"/>
          <w:i w:val="0"/>
          <w:color w:val="222222"/>
          <w:sz w:val="19"/>
        </w:rPr>
        <w:t xml:space="preserve"> Commercial Quotation &amp; Bid Structuring</w:t>
      </w:r>
    </w:p>
    <w:p>
      <w:pPr>
        <w:pStyle w:val="ListBullet"/>
        <w:spacing w:after="40" w:line="276" w:lineRule="auto"/>
      </w:pPr>
      <w:r>
        <w:rPr>
          <w:rFonts w:ascii="Calibri" w:hAnsi="Calibri" w:eastAsia="Calibri"/>
          <w:b/>
          <w:i w:val="0"/>
          <w:color w:val="222222"/>
          <w:sz w:val="19"/>
        </w:rPr>
        <w:t>Target Audience:</w:t>
      </w:r>
      <w:r>
        <w:rPr>
          <w:rFonts w:ascii="Calibri" w:hAnsi="Calibri" w:eastAsia="Calibri"/>
          <w:b w:val="0"/>
          <w:i w:val="0"/>
          <w:color w:val="222222"/>
          <w:sz w:val="19"/>
        </w:rPr>
        <w:t xml:space="preserve"> Chief Commercial Officers, Sales Directors, Bank Procurement Committees</w:t>
      </w:r>
    </w:p>
    <w:p>
      <w:pPr>
        <w:pStyle w:val="ListBullet"/>
        <w:spacing w:after="40" w:line="276" w:lineRule="auto"/>
      </w:pPr>
      <w:r>
        <w:rPr>
          <w:rFonts w:ascii="Calibri" w:hAnsi="Calibri" w:eastAsia="Calibri"/>
          <w:b/>
          <w:i w:val="0"/>
          <w:color w:val="222222"/>
          <w:sz w:val="19"/>
        </w:rPr>
        <w:t>Operational Purpose:</w:t>
      </w:r>
      <w:r>
        <w:rPr>
          <w:rFonts w:ascii="Calibri" w:hAnsi="Calibri" w:eastAsia="Calibri"/>
          <w:b w:val="0"/>
          <w:i w:val="0"/>
          <w:color w:val="222222"/>
          <w:sz w:val="19"/>
        </w:rPr>
        <w:t xml:space="preserve"> Standardized commercial pricing framework defining license tiers, subscription versus perpetual models, branch/asset volume brackets, and discounting rules.</w:t>
      </w:r>
    </w:p>
    <w:p>
      <w:pPr>
        <w:pStyle w:val="ListBullet"/>
        <w:spacing w:after="40" w:line="276" w:lineRule="auto"/>
      </w:pPr>
      <w:r>
        <w:rPr>
          <w:rFonts w:ascii="Calibri" w:hAnsi="Calibri" w:eastAsia="Calibri"/>
          <w:b/>
          <w:i w:val="0"/>
          <w:color w:val="222222"/>
          <w:sz w:val="19"/>
        </w:rPr>
        <w:t>Detailed Table of Contents:</w:t>
      </w:r>
    </w:p>
    <w:p>
      <w:pPr>
        <w:spacing w:after="80" w:line="276" w:lineRule="auto"/>
      </w:pPr>
      <w:r>
        <w:rPr>
          <w:rFonts w:ascii="Calibri" w:hAnsi="Calibri" w:eastAsia="Calibri"/>
          <w:b w:val="0"/>
          <w:i w:val="0"/>
          <w:color w:val="222222"/>
          <w:sz w:val="19"/>
        </w:rPr>
        <w:t>1. Pricing Strategy: Delivering Maximum Enterprise Value While Slicing Foreign Vendor Costs</w:t>
      </w:r>
    </w:p>
    <w:p>
      <w:pPr>
        <w:spacing w:after="80" w:line="276" w:lineRule="auto"/>
      </w:pPr>
      <w:r>
        <w:rPr>
          <w:rFonts w:ascii="Calibri" w:hAnsi="Calibri" w:eastAsia="Calibri"/>
          <w:b w:val="0"/>
          <w:i w:val="0"/>
          <w:color w:val="222222"/>
          <w:sz w:val="19"/>
        </w:rPr>
        <w:t>2. Product Editions &amp; Licensing Tiers:</w:t>
      </w:r>
    </w:p>
    <w:p>
      <w:pPr>
        <w:pStyle w:val="ListBullet"/>
        <w:spacing w:after="40" w:line="276" w:lineRule="auto"/>
        <w:ind w:left="680"/>
      </w:pPr>
      <w:r>
        <w:rPr>
          <w:rFonts w:ascii="Calibri" w:hAnsi="Calibri" w:eastAsia="Calibri"/>
          <w:b w:val="0"/>
          <w:i w:val="0"/>
          <w:color w:val="222222"/>
          <w:sz w:val="19"/>
        </w:rPr>
        <w:t>ULMS Standard (Up to 25 Branches / BDT 1,000 Crore Portfolio) — Baseline Retail/SME</w:t>
      </w:r>
    </w:p>
    <w:p>
      <w:pPr>
        <w:pStyle w:val="ListBullet"/>
        <w:spacing w:after="40" w:line="276" w:lineRule="auto"/>
        <w:ind w:left="680"/>
      </w:pPr>
      <w:r>
        <w:rPr>
          <w:rFonts w:ascii="Calibri" w:hAnsi="Calibri" w:eastAsia="Calibri"/>
          <w:b w:val="0"/>
          <w:i w:val="0"/>
          <w:color w:val="222222"/>
          <w:sz w:val="19"/>
        </w:rPr>
        <w:t>ULMS Enterprise (Up to 100 Branches / BDT 5,000 Crore Portfolio) — Full Suite + Islamic</w:t>
      </w:r>
    </w:p>
    <w:p>
      <w:pPr>
        <w:pStyle w:val="ListBullet"/>
        <w:spacing w:after="40" w:line="276" w:lineRule="auto"/>
        <w:ind w:left="680"/>
      </w:pPr>
      <w:r>
        <w:rPr>
          <w:rFonts w:ascii="Calibri" w:hAnsi="Calibri" w:eastAsia="Calibri"/>
          <w:b w:val="0"/>
          <w:i w:val="0"/>
          <w:color w:val="222222"/>
          <w:sz w:val="19"/>
        </w:rPr>
        <w:t>ULMS Universal Banking (Unlimited Branches / Enterprise Portfolio) — High-Availability Clustered Core</w:t>
      </w:r>
    </w:p>
    <w:p>
      <w:pPr>
        <w:spacing w:after="80" w:line="276" w:lineRule="auto"/>
      </w:pPr>
      <w:r>
        <w:rPr>
          <w:rFonts w:ascii="Calibri" w:hAnsi="Calibri" w:eastAsia="Calibri"/>
          <w:b w:val="0"/>
          <w:i w:val="0"/>
          <w:color w:val="222222"/>
          <w:sz w:val="19"/>
        </w:rPr>
        <w:t>3. Licensing Models: Perpetual On-Premise License vs. Annual Enterprise Term License (SaaS/Private Cloud)</w:t>
      </w:r>
    </w:p>
    <w:p>
      <w:pPr>
        <w:spacing w:after="80" w:line="276" w:lineRule="auto"/>
      </w:pPr>
      <w:r>
        <w:rPr>
          <w:rFonts w:ascii="Calibri" w:hAnsi="Calibri" w:eastAsia="Calibri"/>
          <w:b w:val="0"/>
          <w:i w:val="0"/>
          <w:color w:val="222222"/>
          <w:sz w:val="19"/>
        </w:rPr>
        <w:t>4. Volume Metrics: Per-Branch vs. Per-Active-Borrower vs. Portfolio Asset Under Management (AUM) Sliding Scale</w:t>
      </w:r>
    </w:p>
    <w:p>
      <w:pPr>
        <w:spacing w:after="80" w:line="276" w:lineRule="auto"/>
      </w:pPr>
      <w:r>
        <w:rPr>
          <w:rFonts w:ascii="Calibri" w:hAnsi="Calibri" w:eastAsia="Calibri"/>
          <w:b w:val="0"/>
          <w:i w:val="0"/>
          <w:color w:val="222222"/>
          <w:sz w:val="19"/>
        </w:rPr>
        <w:t>5. Implementation, Integration &amp; Training Fee Schedules</w:t>
      </w:r>
    </w:p>
    <w:p>
      <w:pPr>
        <w:spacing w:after="80" w:line="276" w:lineRule="auto"/>
      </w:pPr>
      <w:r>
        <w:rPr>
          <w:rFonts w:ascii="Calibri" w:hAnsi="Calibri" w:eastAsia="Calibri"/>
          <w:b w:val="0"/>
          <w:i w:val="0"/>
          <w:color w:val="222222"/>
          <w:sz w:val="19"/>
        </w:rPr>
        <w:t>6. Professional Services Daily / Monthly Billing Rates</w:t>
      </w:r>
    </w:p>
    <w:p>
      <w:pPr>
        <w:spacing w:after="80" w:line="276" w:lineRule="auto"/>
      </w:pPr>
      <w:r>
        <w:rPr>
          <w:rFonts w:ascii="Calibri" w:hAnsi="Calibri" w:eastAsia="Calibri"/>
          <w:b w:val="0"/>
          <w:i w:val="0"/>
          <w:color w:val="222222"/>
          <w:sz w:val="19"/>
        </w:rPr>
        <w:t>7. Strategic Discounting Matrix &amp; Approval Delegation of Authority (DOA)</w:t>
      </w:r>
    </w:p>
    <w:p>
      <w:pPr>
        <w:pStyle w:val="ListBullet"/>
        <w:spacing w:after="40" w:line="276" w:lineRule="auto"/>
      </w:pPr>
      <w:r>
        <w:rPr>
          <w:rFonts w:ascii="Calibri" w:hAnsi="Calibri" w:eastAsia="Calibri"/>
          <w:b/>
          <w:i w:val="0"/>
          <w:color w:val="222222"/>
          <w:sz w:val="19"/>
        </w:rPr>
        <w:t>Core Value Proposition:</w:t>
      </w:r>
      <w:r>
        <w:rPr>
          <w:rFonts w:ascii="Calibri" w:hAnsi="Calibri" w:eastAsia="Calibri"/>
          <w:b w:val="0"/>
          <w:i w:val="0"/>
          <w:color w:val="222222"/>
          <w:sz w:val="19"/>
        </w:rPr>
        <w:t xml:space="preserve"> Provide sales teams with structured, profitable pricing tiers while giving banks clear, predictable budgeting options.</w:t>
      </w:r>
    </w:p>
    <w:p>
      <w:pPr>
        <w:pStyle w:val="ListBullet"/>
        <w:spacing w:after="40" w:line="276" w:lineRule="auto"/>
      </w:pPr>
      <w:r>
        <w:rPr>
          <w:rFonts w:ascii="Calibri" w:hAnsi="Calibri" w:eastAsia="Calibri"/>
          <w:b/>
          <w:i w:val="0"/>
          <w:color w:val="222222"/>
          <w:sz w:val="19"/>
        </w:rPr>
        <w:t>Required Inputs &amp; Exhibits:</w:t>
      </w:r>
      <w:r>
        <w:rPr>
          <w:rFonts w:ascii="Calibri" w:hAnsi="Calibri" w:eastAsia="Calibri"/>
          <w:b w:val="0"/>
          <w:i w:val="0"/>
          <w:color w:val="222222"/>
          <w:sz w:val="19"/>
        </w:rPr>
        <w:t xml:space="preserve"> Pricing matrix tables, volume tier discount schedule.</w:t>
      </w:r>
    </w:p>
    <w:p>
      <w:pPr>
        <w:pStyle w:val="ListBullet"/>
        <w:spacing w:after="40" w:line="276" w:lineRule="auto"/>
      </w:pPr>
      <w:r>
        <w:rPr>
          <w:rFonts w:ascii="Calibri" w:hAnsi="Calibri" w:eastAsia="Calibri"/>
          <w:b/>
          <w:i w:val="0"/>
          <w:color w:val="222222"/>
          <w:sz w:val="19"/>
        </w:rPr>
        <w:t>Maintenance Owner:</w:t>
      </w:r>
      <w:r>
        <w:rPr>
          <w:rFonts w:ascii="Calibri" w:hAnsi="Calibri" w:eastAsia="Calibri"/>
          <w:b w:val="0"/>
          <w:i w:val="0"/>
          <w:color w:val="222222"/>
          <w:sz w:val="19"/>
        </w:rPr>
        <w:t xml:space="preserve"> Chief Commercial Officer &amp; Head of Finance.</w:t>
      </w:r>
    </w:p>
    <w:p>
      <w:pPr>
        <w:keepNext/>
        <w:spacing w:before="160" w:after="40"/>
      </w:pPr>
      <w:r>
        <w:rPr>
          <w:rFonts w:ascii="Calibri" w:hAnsi="Calibri" w:eastAsia="Calibri"/>
          <w:b/>
          <w:i w:val="0"/>
          <w:color w:val="1E2660"/>
          <w:sz w:val="20"/>
        </w:rPr>
        <w:t>DOC-32: Enterprise TCO &amp; ROI Financial Justification Model</w:t>
      </w:r>
    </w:p>
    <w:p>
      <w:pPr>
        <w:pStyle w:val="ListBullet"/>
        <w:spacing w:after="40" w:line="276" w:lineRule="auto"/>
      </w:pPr>
      <w:r>
        <w:rPr>
          <w:rFonts w:ascii="Calibri" w:hAnsi="Calibri" w:eastAsia="Calibri"/>
          <w:b/>
          <w:i w:val="0"/>
          <w:color w:val="222222"/>
          <w:sz w:val="19"/>
        </w:rPr>
        <w:t>Target File Path:</w:t>
      </w:r>
      <w:r>
        <w:rPr>
          <w:rFonts w:ascii="Calibri" w:hAnsi="Calibri" w:eastAsia="Calibri"/>
          <w:b w:val="0"/>
          <w:i w:val="0"/>
          <w:color w:val="222222"/>
          <w:sz w:val="19"/>
        </w:rPr>
        <w:t xml:space="preserve"> </w:t>
      </w:r>
      <w:r>
        <w:rPr>
          <w:rFonts w:ascii="Consolas" w:hAnsi="Consolas" w:eastAsia="Consolas"/>
          <w:b w:val="0"/>
          <w:i w:val="0"/>
          <w:color w:val="8B0000"/>
          <w:sz w:val="18"/>
        </w:rPr>
        <w:t>business_document/05_commercial_and_pricing/DOC-32_TCO_and_ROI_Calculator_Guide.md</w:t>
      </w:r>
    </w:p>
    <w:p>
      <w:pPr>
        <w:pStyle w:val="ListBullet"/>
        <w:spacing w:after="40" w:line="276" w:lineRule="auto"/>
      </w:pPr>
      <w:r>
        <w:rPr>
          <w:rFonts w:ascii="Calibri" w:hAnsi="Calibri" w:eastAsia="Calibri"/>
          <w:b/>
          <w:i w:val="0"/>
          <w:color w:val="222222"/>
          <w:sz w:val="19"/>
        </w:rPr>
        <w:t>Lifecycle Phase:</w:t>
      </w:r>
      <w:r>
        <w:rPr>
          <w:rFonts w:ascii="Calibri" w:hAnsi="Calibri" w:eastAsia="Calibri"/>
          <w:b w:val="0"/>
          <w:i w:val="0"/>
          <w:color w:val="222222"/>
          <w:sz w:val="19"/>
        </w:rPr>
        <w:t xml:space="preserve"> Business Case Justification for CFO &amp; Board</w:t>
      </w:r>
    </w:p>
    <w:p>
      <w:pPr>
        <w:pStyle w:val="ListBullet"/>
        <w:spacing w:after="40" w:line="276" w:lineRule="auto"/>
      </w:pPr>
      <w:r>
        <w:rPr>
          <w:rFonts w:ascii="Calibri" w:hAnsi="Calibri" w:eastAsia="Calibri"/>
          <w:b/>
          <w:i w:val="0"/>
          <w:color w:val="222222"/>
          <w:sz w:val="19"/>
        </w:rPr>
        <w:t>Target Audience:</w:t>
      </w:r>
      <w:r>
        <w:rPr>
          <w:rFonts w:ascii="Calibri" w:hAnsi="Calibri" w:eastAsia="Calibri"/>
          <w:b w:val="0"/>
          <w:i w:val="0"/>
          <w:color w:val="222222"/>
          <w:sz w:val="19"/>
        </w:rPr>
        <w:t xml:space="preserve"> Chief Financial Officers (CFOs), Bank Board Investment Committees</w:t>
      </w:r>
    </w:p>
    <w:p>
      <w:pPr>
        <w:pStyle w:val="ListBullet"/>
        <w:spacing w:after="40" w:line="276" w:lineRule="auto"/>
      </w:pPr>
      <w:r>
        <w:rPr>
          <w:rFonts w:ascii="Calibri" w:hAnsi="Calibri" w:eastAsia="Calibri"/>
          <w:b/>
          <w:i w:val="0"/>
          <w:color w:val="222222"/>
          <w:sz w:val="19"/>
        </w:rPr>
        <w:t>Operational Purpose:</w:t>
      </w:r>
      <w:r>
        <w:rPr>
          <w:rFonts w:ascii="Calibri" w:hAnsi="Calibri" w:eastAsia="Calibri"/>
          <w:b w:val="0"/>
          <w:i w:val="0"/>
          <w:color w:val="222222"/>
          <w:sz w:val="19"/>
        </w:rPr>
        <w:t xml:space="preserve"> A comprehensive 5-year Total Cost of Ownership (TCO) financial model and ROI calculator proving that ULMS delivers a break-even return within 9 months and millions in net savings.</w:t>
      </w:r>
    </w:p>
    <w:p>
      <w:pPr>
        <w:pStyle w:val="ListBullet"/>
        <w:spacing w:after="40" w:line="276" w:lineRule="auto"/>
      </w:pPr>
      <w:r>
        <w:rPr>
          <w:rFonts w:ascii="Calibri" w:hAnsi="Calibri" w:eastAsia="Calibri"/>
          <w:b/>
          <w:i w:val="0"/>
          <w:color w:val="222222"/>
          <w:sz w:val="19"/>
        </w:rPr>
        <w:t>Detailed Table of Contents:</w:t>
      </w:r>
    </w:p>
    <w:p>
      <w:pPr>
        <w:spacing w:after="80" w:line="276" w:lineRule="auto"/>
      </w:pPr>
      <w:r>
        <w:rPr>
          <w:rFonts w:ascii="Calibri" w:hAnsi="Calibri" w:eastAsia="Calibri"/>
          <w:b w:val="0"/>
          <w:i w:val="0"/>
          <w:color w:val="222222"/>
          <w:sz w:val="19"/>
        </w:rPr>
        <w:t>1. The Financial Business Case for Modernizing Core Lending Infrastructure</w:t>
      </w:r>
    </w:p>
    <w:p>
      <w:pPr>
        <w:spacing w:after="80" w:line="276" w:lineRule="auto"/>
      </w:pPr>
      <w:r>
        <w:rPr>
          <w:rFonts w:ascii="Calibri" w:hAnsi="Calibri" w:eastAsia="Calibri"/>
          <w:b w:val="0"/>
          <w:i w:val="0"/>
          <w:color w:val="222222"/>
          <w:sz w:val="19"/>
        </w:rPr>
        <w:t>2. 5-Year Total Cost of Ownership (TCO) Modeling: ULMS vs. Foreign Global LMS vs. In-House Custom Build</w:t>
      </w:r>
    </w:p>
    <w:p>
      <w:pPr>
        <w:spacing w:after="80" w:line="276" w:lineRule="auto"/>
      </w:pPr>
      <w:r>
        <w:rPr>
          <w:rFonts w:ascii="Calibri" w:hAnsi="Calibri" w:eastAsia="Calibri"/>
          <w:b w:val="0"/>
          <w:i w:val="0"/>
          <w:color w:val="222222"/>
          <w:sz w:val="19"/>
        </w:rPr>
        <w:t>3. Direct Cost Comparison Factors: Capital Expenditure (CapEx), Software Licenses, Implementation Fees, Recurring Annual Maintenance, Hardware Sizing, Foreign Exchange (Forex) Exposure</w:t>
      </w:r>
    </w:p>
    <w:p>
      <w:pPr>
        <w:spacing w:after="80" w:line="276" w:lineRule="auto"/>
      </w:pPr>
      <w:r>
        <w:rPr>
          <w:rFonts w:ascii="Calibri" w:hAnsi="Calibri" w:eastAsia="Calibri"/>
          <w:b w:val="0"/>
          <w:i w:val="0"/>
          <w:color w:val="222222"/>
          <w:sz w:val="19"/>
        </w:rPr>
        <w:t>4. Operational Cost Reductions Quantified:</w:t>
      </w:r>
    </w:p>
    <w:p>
      <w:pPr>
        <w:pStyle w:val="ListBullet"/>
        <w:spacing w:after="40" w:line="276" w:lineRule="auto"/>
        <w:ind w:left="680"/>
      </w:pPr>
      <w:r>
        <w:rPr>
          <w:rFonts w:ascii="Calibri" w:hAnsi="Calibri" w:eastAsia="Calibri"/>
          <w:b w:val="0"/>
          <w:i w:val="0"/>
          <w:color w:val="222222"/>
          <w:sz w:val="19"/>
        </w:rPr>
        <w:t>Labor Cost Savings: 60% Reduction in Manual BOCC Paper Preparation Time</w:t>
      </w:r>
    </w:p>
    <w:p>
      <w:pPr>
        <w:pStyle w:val="ListBullet"/>
        <w:spacing w:after="40" w:line="276" w:lineRule="auto"/>
        <w:ind w:left="680"/>
      </w:pPr>
      <w:r>
        <w:rPr>
          <w:rFonts w:ascii="Calibri" w:hAnsi="Calibri" w:eastAsia="Calibri"/>
          <w:b w:val="0"/>
          <w:i w:val="0"/>
          <w:color w:val="222222"/>
          <w:sz w:val="19"/>
        </w:rPr>
        <w:t>NPL Reduction Value: 1.0%–1.5% Reduction in Portfolio Losses Through Automated CIB &amp; Underwriting</w:t>
      </w:r>
    </w:p>
    <w:p>
      <w:pPr>
        <w:pStyle w:val="ListBullet"/>
        <w:spacing w:after="40" w:line="276" w:lineRule="auto"/>
        <w:ind w:left="680"/>
      </w:pPr>
      <w:r>
        <w:rPr>
          <w:rFonts w:ascii="Calibri" w:hAnsi="Calibri" w:eastAsia="Calibri"/>
          <w:b w:val="0"/>
          <w:i w:val="0"/>
          <w:color w:val="222222"/>
          <w:sz w:val="19"/>
        </w:rPr>
        <w:t>Turnaround Time Revenue Gains: Capturing High-Quality Borrowers Before Competitors</w:t>
      </w:r>
    </w:p>
    <w:p>
      <w:pPr>
        <w:pStyle w:val="ListBullet"/>
        <w:spacing w:after="40" w:line="276" w:lineRule="auto"/>
        <w:ind w:left="680"/>
      </w:pPr>
      <w:r>
        <w:rPr>
          <w:rFonts w:ascii="Calibri" w:hAnsi="Calibri" w:eastAsia="Calibri"/>
          <w:b w:val="0"/>
          <w:i w:val="0"/>
          <w:color w:val="222222"/>
          <w:sz w:val="19"/>
        </w:rPr>
        <w:t>Regulatory Penalty Avoidance: Zero BB Non-Compliance Fines</w:t>
      </w:r>
    </w:p>
    <w:p>
      <w:pPr>
        <w:spacing w:after="80" w:line="276" w:lineRule="auto"/>
      </w:pPr>
      <w:r>
        <w:rPr>
          <w:rFonts w:ascii="Calibri" w:hAnsi="Calibri" w:eastAsia="Calibri"/>
          <w:b w:val="0"/>
          <w:i w:val="0"/>
          <w:color w:val="222222"/>
          <w:sz w:val="19"/>
        </w:rPr>
        <w:t>5. The Financial Calculator: Net Present Value (NPV), Internal Rate of Return (IRR), and Payback Period Formulae</w:t>
      </w:r>
    </w:p>
    <w:p>
      <w:pPr>
        <w:spacing w:after="80" w:line="276" w:lineRule="auto"/>
      </w:pPr>
      <w:r>
        <w:rPr>
          <w:rFonts w:ascii="Calibri" w:hAnsi="Calibri" w:eastAsia="Calibri"/>
          <w:b w:val="0"/>
          <w:i w:val="0"/>
          <w:color w:val="222222"/>
          <w:sz w:val="19"/>
        </w:rPr>
        <w:t>6. Sample 5-Year Financial Projection for a ৳10,000 Crore Bank Portfolio (Net Savings &gt; ৳18 Crore)</w:t>
      </w:r>
    </w:p>
    <w:p>
      <w:pPr>
        <w:pStyle w:val="ListBullet"/>
        <w:spacing w:after="40" w:line="276" w:lineRule="auto"/>
      </w:pPr>
      <w:r>
        <w:rPr>
          <w:rFonts w:ascii="Calibri" w:hAnsi="Calibri" w:eastAsia="Calibri"/>
          <w:b/>
          <w:i w:val="0"/>
          <w:color w:val="222222"/>
          <w:sz w:val="19"/>
        </w:rPr>
        <w:t>Core Value Proposition:</w:t>
      </w:r>
      <w:r>
        <w:rPr>
          <w:rFonts w:ascii="Calibri" w:hAnsi="Calibri" w:eastAsia="Calibri"/>
          <w:b w:val="0"/>
          <w:i w:val="0"/>
          <w:color w:val="222222"/>
          <w:sz w:val="19"/>
        </w:rPr>
        <w:t xml:space="preserve"> Arm the bank's project sponsor with undeniable financial mathematics to win unanimous Board and CFO budget approval.</w:t>
      </w:r>
    </w:p>
    <w:p>
      <w:pPr>
        <w:pStyle w:val="ListBullet"/>
        <w:spacing w:after="40" w:line="276" w:lineRule="auto"/>
      </w:pPr>
      <w:r>
        <w:rPr>
          <w:rFonts w:ascii="Calibri" w:hAnsi="Calibri" w:eastAsia="Calibri"/>
          <w:b/>
          <w:i w:val="0"/>
          <w:color w:val="222222"/>
          <w:sz w:val="19"/>
        </w:rPr>
        <w:t>Required Inputs &amp; Exhibits:</w:t>
      </w:r>
      <w:r>
        <w:rPr>
          <w:rFonts w:ascii="Calibri" w:hAnsi="Calibri" w:eastAsia="Calibri"/>
          <w:b w:val="0"/>
          <w:i w:val="0"/>
          <w:color w:val="222222"/>
          <w:sz w:val="19"/>
        </w:rPr>
        <w:t xml:space="preserve"> Mathematical KaTeX ROI equations, 5-year cash-flow comparison charts.</w:t>
      </w:r>
    </w:p>
    <w:p>
      <w:pPr>
        <w:pStyle w:val="ListBullet"/>
        <w:spacing w:after="40" w:line="276" w:lineRule="auto"/>
      </w:pPr>
      <w:r>
        <w:rPr>
          <w:rFonts w:ascii="Calibri" w:hAnsi="Calibri" w:eastAsia="Calibri"/>
          <w:b/>
          <w:i w:val="0"/>
          <w:color w:val="222222"/>
          <w:sz w:val="19"/>
        </w:rPr>
        <w:t>Maintenance Owner:</w:t>
      </w:r>
      <w:r>
        <w:rPr>
          <w:rFonts w:ascii="Calibri" w:hAnsi="Calibri" w:eastAsia="Calibri"/>
          <w:b w:val="0"/>
          <w:i w:val="0"/>
          <w:color w:val="222222"/>
          <w:sz w:val="19"/>
        </w:rPr>
        <w:t xml:space="preserve"> Lead Financial Analyst &amp; Pre-Sales Director.</w:t>
      </w:r>
    </w:p>
    <w:p>
      <w:pPr>
        <w:keepNext/>
        <w:spacing w:before="160" w:after="40"/>
      </w:pPr>
      <w:r>
        <w:rPr>
          <w:rFonts w:ascii="Calibri" w:hAnsi="Calibri" w:eastAsia="Calibri"/>
          <w:b/>
          <w:i w:val="0"/>
          <w:color w:val="1E2660"/>
          <w:sz w:val="20"/>
        </w:rPr>
        <w:t>DOC-33: Professional Services &amp; Customization Rate Card</w:t>
      </w:r>
    </w:p>
    <w:p>
      <w:pPr>
        <w:pStyle w:val="ListBullet"/>
        <w:spacing w:after="40" w:line="276" w:lineRule="auto"/>
      </w:pPr>
      <w:r>
        <w:rPr>
          <w:rFonts w:ascii="Calibri" w:hAnsi="Calibri" w:eastAsia="Calibri"/>
          <w:b/>
          <w:i w:val="0"/>
          <w:color w:val="222222"/>
          <w:sz w:val="19"/>
        </w:rPr>
        <w:t>Target File Path:</w:t>
      </w:r>
      <w:r>
        <w:rPr>
          <w:rFonts w:ascii="Calibri" w:hAnsi="Calibri" w:eastAsia="Calibri"/>
          <w:b w:val="0"/>
          <w:i w:val="0"/>
          <w:color w:val="222222"/>
          <w:sz w:val="19"/>
        </w:rPr>
        <w:t xml:space="preserve"> </w:t>
      </w:r>
      <w:r>
        <w:rPr>
          <w:rFonts w:ascii="Consolas" w:hAnsi="Consolas" w:eastAsia="Consolas"/>
          <w:b w:val="0"/>
          <w:i w:val="0"/>
          <w:color w:val="8B0000"/>
          <w:sz w:val="18"/>
        </w:rPr>
        <w:t>business_document/05_commercial_and_pricing/DOC-33_Professional_Services_Rate_Card.md</w:t>
      </w:r>
    </w:p>
    <w:p>
      <w:pPr>
        <w:pStyle w:val="ListBullet"/>
        <w:spacing w:after="40" w:line="276" w:lineRule="auto"/>
      </w:pPr>
      <w:r>
        <w:rPr>
          <w:rFonts w:ascii="Calibri" w:hAnsi="Calibri" w:eastAsia="Calibri"/>
          <w:b/>
          <w:i w:val="0"/>
          <w:color w:val="222222"/>
          <w:sz w:val="19"/>
        </w:rPr>
        <w:t>Lifecycle Phase:</w:t>
      </w:r>
      <w:r>
        <w:rPr>
          <w:rFonts w:ascii="Calibri" w:hAnsi="Calibri" w:eastAsia="Calibri"/>
          <w:b w:val="0"/>
          <w:i w:val="0"/>
          <w:color w:val="222222"/>
          <w:sz w:val="19"/>
        </w:rPr>
        <w:t xml:space="preserve"> Commercial Scoping &amp; Statement of Work (SOW) Formulation</w:t>
      </w:r>
    </w:p>
    <w:p>
      <w:pPr>
        <w:pStyle w:val="ListBullet"/>
        <w:spacing w:after="40" w:line="276" w:lineRule="auto"/>
      </w:pPr>
      <w:r>
        <w:rPr>
          <w:rFonts w:ascii="Calibri" w:hAnsi="Calibri" w:eastAsia="Calibri"/>
          <w:b/>
          <w:i w:val="0"/>
          <w:color w:val="222222"/>
          <w:sz w:val="19"/>
        </w:rPr>
        <w:t>Target Audience:</w:t>
      </w:r>
      <w:r>
        <w:rPr>
          <w:rFonts w:ascii="Calibri" w:hAnsi="Calibri" w:eastAsia="Calibri"/>
          <w:b w:val="0"/>
          <w:i w:val="0"/>
          <w:color w:val="222222"/>
          <w:sz w:val="19"/>
        </w:rPr>
        <w:t xml:space="preserve"> Solution Architects, Project Managers, Bank ICT Procurement</w:t>
      </w:r>
    </w:p>
    <w:p>
      <w:pPr>
        <w:pStyle w:val="ListBullet"/>
        <w:spacing w:after="40" w:line="276" w:lineRule="auto"/>
      </w:pPr>
      <w:r>
        <w:rPr>
          <w:rFonts w:ascii="Calibri" w:hAnsi="Calibri" w:eastAsia="Calibri"/>
          <w:b/>
          <w:i w:val="0"/>
          <w:color w:val="222222"/>
          <w:sz w:val="19"/>
        </w:rPr>
        <w:t>Operational Purpose:</w:t>
      </w:r>
      <w:r>
        <w:rPr>
          <w:rFonts w:ascii="Calibri" w:hAnsi="Calibri" w:eastAsia="Calibri"/>
          <w:b w:val="0"/>
          <w:i w:val="0"/>
          <w:color w:val="222222"/>
          <w:sz w:val="19"/>
        </w:rPr>
        <w:t xml:space="preserve"> Standardized rate card detailing man-day and man-month costs for specialized engineering roles, custom CBS development, data migration, and on-site training.</w:t>
      </w:r>
    </w:p>
    <w:p>
      <w:pPr>
        <w:pStyle w:val="ListBullet"/>
        <w:spacing w:after="40" w:line="276" w:lineRule="auto"/>
      </w:pPr>
      <w:r>
        <w:rPr>
          <w:rFonts w:ascii="Calibri" w:hAnsi="Calibri" w:eastAsia="Calibri"/>
          <w:b/>
          <w:i w:val="0"/>
          <w:color w:val="222222"/>
          <w:sz w:val="19"/>
        </w:rPr>
        <w:t>Detailed Table of Contents:</w:t>
      </w:r>
    </w:p>
    <w:p>
      <w:pPr>
        <w:spacing w:after="80" w:line="276" w:lineRule="auto"/>
      </w:pPr>
      <w:r>
        <w:rPr>
          <w:rFonts w:ascii="Calibri" w:hAnsi="Calibri" w:eastAsia="Calibri"/>
          <w:b w:val="0"/>
          <w:i w:val="0"/>
          <w:color w:val="222222"/>
          <w:sz w:val="19"/>
        </w:rPr>
        <w:t>1. Professional Services Philosophy: Transparent, Milestone-Driven Engineering Engagements</w:t>
      </w:r>
    </w:p>
    <w:p>
      <w:pPr>
        <w:spacing w:after="80" w:line="276" w:lineRule="auto"/>
      </w:pPr>
      <w:r>
        <w:rPr>
          <w:rFonts w:ascii="Calibri" w:hAnsi="Calibri" w:eastAsia="Calibri"/>
          <w:b w:val="0"/>
          <w:i w:val="0"/>
          <w:color w:val="222222"/>
          <w:sz w:val="19"/>
        </w:rPr>
        <w:t>2. Engineering Role Profiles &amp; Standard Man-Day Billing Rates (BDT):</w:t>
      </w:r>
    </w:p>
    <w:p>
      <w:pPr>
        <w:pStyle w:val="ListBullet"/>
        <w:spacing w:after="40" w:line="276" w:lineRule="auto"/>
        <w:ind w:left="680"/>
      </w:pPr>
      <w:r>
        <w:rPr>
          <w:rFonts w:ascii="Calibri" w:hAnsi="Calibri" w:eastAsia="Calibri"/>
          <w:b w:val="0"/>
          <w:i w:val="0"/>
          <w:color w:val="222222"/>
          <w:sz w:val="19"/>
        </w:rPr>
        <w:t>Principal Solution Architect</w:t>
      </w:r>
    </w:p>
    <w:p>
      <w:pPr>
        <w:pStyle w:val="ListBullet"/>
        <w:spacing w:after="40" w:line="276" w:lineRule="auto"/>
        <w:ind w:left="680"/>
      </w:pPr>
      <w:r>
        <w:rPr>
          <w:rFonts w:ascii="Calibri" w:hAnsi="Calibri" w:eastAsia="Calibri"/>
          <w:b w:val="0"/>
          <w:i w:val="0"/>
          <w:color w:val="222222"/>
          <w:sz w:val="19"/>
        </w:rPr>
        <w:t>Senior Banking Business Analyst</w:t>
      </w:r>
    </w:p>
    <w:p>
      <w:pPr>
        <w:pStyle w:val="ListBullet"/>
        <w:spacing w:after="40" w:line="276" w:lineRule="auto"/>
        <w:ind w:left="680"/>
      </w:pPr>
      <w:r>
        <w:rPr>
          <w:rFonts w:ascii="Calibri" w:hAnsi="Calibri" w:eastAsia="Calibri"/>
          <w:b w:val="0"/>
          <w:i w:val="0"/>
          <w:color w:val="222222"/>
          <w:sz w:val="19"/>
        </w:rPr>
        <w:t>Lead Backend Engineer (Java / Spring Boot)</w:t>
      </w:r>
    </w:p>
    <w:p>
      <w:pPr>
        <w:pStyle w:val="ListBullet"/>
        <w:spacing w:after="40" w:line="276" w:lineRule="auto"/>
        <w:ind w:left="680"/>
      </w:pPr>
      <w:r>
        <w:rPr>
          <w:rFonts w:ascii="Calibri" w:hAnsi="Calibri" w:eastAsia="Calibri"/>
          <w:b w:val="0"/>
          <w:i w:val="0"/>
          <w:color w:val="222222"/>
          <w:sz w:val="19"/>
        </w:rPr>
        <w:t>Lead Frontend Engineer (React / TypeScript)</w:t>
      </w:r>
    </w:p>
    <w:p>
      <w:pPr>
        <w:pStyle w:val="ListBullet"/>
        <w:spacing w:after="40" w:line="276" w:lineRule="auto"/>
        <w:ind w:left="680"/>
      </w:pPr>
      <w:r>
        <w:rPr>
          <w:rFonts w:ascii="Calibri" w:hAnsi="Calibri" w:eastAsia="Calibri"/>
          <w:b w:val="0"/>
          <w:i w:val="0"/>
          <w:color w:val="222222"/>
          <w:sz w:val="19"/>
        </w:rPr>
        <w:t>Database Administrator / Migration Specialist (PostgreSQL / Flyway)</w:t>
      </w:r>
    </w:p>
    <w:p>
      <w:pPr>
        <w:pStyle w:val="ListBullet"/>
        <w:spacing w:after="40" w:line="276" w:lineRule="auto"/>
        <w:ind w:left="680"/>
      </w:pPr>
      <w:r>
        <w:rPr>
          <w:rFonts w:ascii="Calibri" w:hAnsi="Calibri" w:eastAsia="Calibri"/>
          <w:b w:val="0"/>
          <w:i w:val="0"/>
          <w:color w:val="222222"/>
          <w:sz w:val="19"/>
        </w:rPr>
        <w:t>Quality Assurance &amp; Security Automation Engineer</w:t>
      </w:r>
    </w:p>
    <w:p>
      <w:pPr>
        <w:pStyle w:val="ListBullet"/>
        <w:spacing w:after="40" w:line="276" w:lineRule="auto"/>
        <w:ind w:left="680"/>
      </w:pPr>
      <w:r>
        <w:rPr>
          <w:rFonts w:ascii="Calibri" w:hAnsi="Calibri" w:eastAsia="Calibri"/>
          <w:b w:val="0"/>
          <w:i w:val="0"/>
          <w:color w:val="222222"/>
          <w:sz w:val="19"/>
        </w:rPr>
        <w:t>Certified On-Site Corporate Trainer</w:t>
      </w:r>
    </w:p>
    <w:p>
      <w:pPr>
        <w:spacing w:after="80" w:line="276" w:lineRule="auto"/>
      </w:pPr>
      <w:r>
        <w:rPr>
          <w:rFonts w:ascii="Calibri" w:hAnsi="Calibri" w:eastAsia="Calibri"/>
          <w:b w:val="0"/>
          <w:i w:val="0"/>
          <w:color w:val="222222"/>
          <w:sz w:val="19"/>
        </w:rPr>
        <w:t>3. Fixed-Price Package Options: Standard CBS Connector Pack, CIB Integration Pack, e-KYC Migration Pack</w:t>
      </w:r>
    </w:p>
    <w:p>
      <w:pPr>
        <w:spacing w:after="80" w:line="276" w:lineRule="auto"/>
      </w:pPr>
      <w:r>
        <w:rPr>
          <w:rFonts w:ascii="Calibri" w:hAnsi="Calibri" w:eastAsia="Calibri"/>
          <w:b w:val="0"/>
          <w:i w:val="0"/>
          <w:color w:val="222222"/>
          <w:sz w:val="19"/>
        </w:rPr>
        <w:t>4. Scope Change Order Governance: Handling Unplanned Customizations and Requirements Drift</w:t>
      </w:r>
    </w:p>
    <w:p>
      <w:pPr>
        <w:spacing w:after="80" w:line="276" w:lineRule="auto"/>
      </w:pPr>
      <w:r>
        <w:rPr>
          <w:rFonts w:ascii="Calibri" w:hAnsi="Calibri" w:eastAsia="Calibri"/>
          <w:b w:val="0"/>
          <w:i w:val="0"/>
          <w:color w:val="222222"/>
          <w:sz w:val="19"/>
        </w:rPr>
        <w:t>5. Travel, Daily Allowance, and On-Site Deployment Policies for Out-of-Dhaka Branch Rollouts</w:t>
      </w:r>
    </w:p>
    <w:p>
      <w:pPr>
        <w:pStyle w:val="ListBullet"/>
        <w:spacing w:after="40" w:line="276" w:lineRule="auto"/>
      </w:pPr>
      <w:r>
        <w:rPr>
          <w:rFonts w:ascii="Calibri" w:hAnsi="Calibri" w:eastAsia="Calibri"/>
          <w:b/>
          <w:i w:val="0"/>
          <w:color w:val="222222"/>
          <w:sz w:val="19"/>
        </w:rPr>
        <w:t>Core Value Proposition:</w:t>
      </w:r>
      <w:r>
        <w:rPr>
          <w:rFonts w:ascii="Calibri" w:hAnsi="Calibri" w:eastAsia="Calibri"/>
          <w:b w:val="0"/>
          <w:i w:val="0"/>
          <w:color w:val="222222"/>
          <w:sz w:val="19"/>
        </w:rPr>
        <w:t xml:space="preserve"> Eliminate contentious billing disputes by establishing transparent, market-competitive engineering rate standards up front.</w:t>
      </w:r>
    </w:p>
    <w:p>
      <w:pPr>
        <w:pStyle w:val="ListBullet"/>
        <w:spacing w:after="40" w:line="276" w:lineRule="auto"/>
      </w:pPr>
      <w:r>
        <w:rPr>
          <w:rFonts w:ascii="Calibri" w:hAnsi="Calibri" w:eastAsia="Calibri"/>
          <w:b/>
          <w:i w:val="0"/>
          <w:color w:val="222222"/>
          <w:sz w:val="19"/>
        </w:rPr>
        <w:t>Required Inputs &amp; Exhibits:</w:t>
      </w:r>
      <w:r>
        <w:rPr>
          <w:rFonts w:ascii="Calibri" w:hAnsi="Calibri" w:eastAsia="Calibri"/>
          <w:b w:val="0"/>
          <w:i w:val="0"/>
          <w:color w:val="222222"/>
          <w:sz w:val="19"/>
        </w:rPr>
        <w:t xml:space="preserve"> Role description rate card table, Change Request (CR) cost template.</w:t>
      </w:r>
    </w:p>
    <w:p>
      <w:pPr>
        <w:pStyle w:val="ListBullet"/>
        <w:spacing w:after="40" w:line="276" w:lineRule="auto"/>
      </w:pPr>
      <w:r>
        <w:rPr>
          <w:rFonts w:ascii="Calibri" w:hAnsi="Calibri" w:eastAsia="Calibri"/>
          <w:b/>
          <w:i w:val="0"/>
          <w:color w:val="222222"/>
          <w:sz w:val="19"/>
        </w:rPr>
        <w:t>Maintenance Owner:</w:t>
      </w:r>
      <w:r>
        <w:rPr>
          <w:rFonts w:ascii="Calibri" w:hAnsi="Calibri" w:eastAsia="Calibri"/>
          <w:b w:val="0"/>
          <w:i w:val="0"/>
          <w:color w:val="222222"/>
          <w:sz w:val="19"/>
        </w:rPr>
        <w:t xml:space="preserve"> Director of Professional Services.</w:t>
      </w:r>
    </w:p>
    <w:p>
      <w:pPr>
        <w:keepNext/>
        <w:spacing w:before="160" w:after="40"/>
      </w:pPr>
      <w:r>
        <w:rPr>
          <w:rFonts w:ascii="Calibri" w:hAnsi="Calibri" w:eastAsia="Calibri"/>
          <w:b/>
          <w:i w:val="0"/>
          <w:color w:val="1E2660"/>
          <w:sz w:val="20"/>
        </w:rPr>
        <w:t>DOC-34: Annual Maintenance Contract (AMC) &amp; Support Tier Agreement</w:t>
      </w:r>
    </w:p>
    <w:p>
      <w:pPr>
        <w:pStyle w:val="ListBullet"/>
        <w:spacing w:after="40" w:line="276" w:lineRule="auto"/>
      </w:pPr>
      <w:r>
        <w:rPr>
          <w:rFonts w:ascii="Calibri" w:hAnsi="Calibri" w:eastAsia="Calibri"/>
          <w:b/>
          <w:i w:val="0"/>
          <w:color w:val="222222"/>
          <w:sz w:val="19"/>
        </w:rPr>
        <w:t>Target File Path:</w:t>
      </w:r>
      <w:r>
        <w:rPr>
          <w:rFonts w:ascii="Calibri" w:hAnsi="Calibri" w:eastAsia="Calibri"/>
          <w:b w:val="0"/>
          <w:i w:val="0"/>
          <w:color w:val="222222"/>
          <w:sz w:val="19"/>
        </w:rPr>
        <w:t xml:space="preserve"> </w:t>
      </w:r>
      <w:r>
        <w:rPr>
          <w:rFonts w:ascii="Consolas" w:hAnsi="Consolas" w:eastAsia="Consolas"/>
          <w:b w:val="0"/>
          <w:i w:val="0"/>
          <w:color w:val="8B0000"/>
          <w:sz w:val="18"/>
        </w:rPr>
        <w:t>business_document/05_commercial_and_pricing/DOC-34_AMC_Support_Tier_Agreement.md</w:t>
      </w:r>
    </w:p>
    <w:p>
      <w:pPr>
        <w:pStyle w:val="ListBullet"/>
        <w:spacing w:after="40" w:line="276" w:lineRule="auto"/>
      </w:pPr>
      <w:r>
        <w:rPr>
          <w:rFonts w:ascii="Calibri" w:hAnsi="Calibri" w:eastAsia="Calibri"/>
          <w:b/>
          <w:i w:val="0"/>
          <w:color w:val="222222"/>
          <w:sz w:val="19"/>
        </w:rPr>
        <w:t>Lifecycle Phase:</w:t>
      </w:r>
      <w:r>
        <w:rPr>
          <w:rFonts w:ascii="Calibri" w:hAnsi="Calibri" w:eastAsia="Calibri"/>
          <w:b w:val="0"/>
          <w:i w:val="0"/>
          <w:color w:val="222222"/>
          <w:sz w:val="19"/>
        </w:rPr>
        <w:t xml:space="preserve"> Post-Implementation Support Contracting</w:t>
      </w:r>
    </w:p>
    <w:p>
      <w:pPr>
        <w:pStyle w:val="ListBullet"/>
        <w:spacing w:after="40" w:line="276" w:lineRule="auto"/>
      </w:pPr>
      <w:r>
        <w:rPr>
          <w:rFonts w:ascii="Calibri" w:hAnsi="Calibri" w:eastAsia="Calibri"/>
          <w:b/>
          <w:i w:val="0"/>
          <w:color w:val="222222"/>
          <w:sz w:val="19"/>
        </w:rPr>
        <w:t>Target Audience:</w:t>
      </w:r>
      <w:r>
        <w:rPr>
          <w:rFonts w:ascii="Calibri" w:hAnsi="Calibri" w:eastAsia="Calibri"/>
          <w:b w:val="0"/>
          <w:i w:val="0"/>
          <w:color w:val="222222"/>
          <w:sz w:val="19"/>
        </w:rPr>
        <w:t xml:space="preserve"> Bank Legal Counsel, Heads of Operations, Procurement Teams</w:t>
      </w:r>
    </w:p>
    <w:p>
      <w:pPr>
        <w:pStyle w:val="ListBullet"/>
        <w:spacing w:after="40" w:line="276" w:lineRule="auto"/>
      </w:pPr>
      <w:r>
        <w:rPr>
          <w:rFonts w:ascii="Calibri" w:hAnsi="Calibri" w:eastAsia="Calibri"/>
          <w:b/>
          <w:i w:val="0"/>
          <w:color w:val="222222"/>
          <w:sz w:val="19"/>
        </w:rPr>
        <w:t>Operational Purpose:</w:t>
      </w:r>
      <w:r>
        <w:rPr>
          <w:rFonts w:ascii="Calibri" w:hAnsi="Calibri" w:eastAsia="Calibri"/>
          <w:b w:val="0"/>
          <w:i w:val="0"/>
          <w:color w:val="222222"/>
          <w:sz w:val="19"/>
        </w:rPr>
        <w:t xml:space="preserve"> Detailed commercial contract governing ongoing software maintenance, version upgrades, regulatory patch deployments, and long-term support obligations.</w:t>
      </w:r>
    </w:p>
    <w:p>
      <w:pPr>
        <w:pStyle w:val="ListBullet"/>
        <w:spacing w:after="40" w:line="276" w:lineRule="auto"/>
      </w:pPr>
      <w:r>
        <w:rPr>
          <w:rFonts w:ascii="Calibri" w:hAnsi="Calibri" w:eastAsia="Calibri"/>
          <w:b/>
          <w:i w:val="0"/>
          <w:color w:val="222222"/>
          <w:sz w:val="19"/>
        </w:rPr>
        <w:t>Detailed Table of Contents:</w:t>
      </w:r>
    </w:p>
    <w:p>
      <w:pPr>
        <w:spacing w:after="80" w:line="276" w:lineRule="auto"/>
      </w:pPr>
      <w:r>
        <w:rPr>
          <w:rFonts w:ascii="Calibri" w:hAnsi="Calibri" w:eastAsia="Calibri"/>
          <w:b w:val="0"/>
          <w:i w:val="0"/>
          <w:color w:val="222222"/>
          <w:sz w:val="19"/>
        </w:rPr>
        <w:t>1. Objectives of the Annual Maintenance Contract (AMC)</w:t>
      </w:r>
    </w:p>
    <w:p>
      <w:pPr>
        <w:spacing w:after="80" w:line="276" w:lineRule="auto"/>
      </w:pPr>
      <w:r>
        <w:rPr>
          <w:rFonts w:ascii="Calibri" w:hAnsi="Calibri" w:eastAsia="Calibri"/>
          <w:b w:val="0"/>
          <w:i w:val="0"/>
          <w:color w:val="222222"/>
          <w:sz w:val="19"/>
        </w:rPr>
        <w:t>2. Standard AMC Fee Structure (20% of Net License Value Annually, Commencing Year 2)</w:t>
      </w:r>
    </w:p>
    <w:p>
      <w:pPr>
        <w:spacing w:after="80" w:line="276" w:lineRule="auto"/>
      </w:pPr>
      <w:r>
        <w:rPr>
          <w:rFonts w:ascii="Calibri" w:hAnsi="Calibri" w:eastAsia="Calibri"/>
          <w:b w:val="0"/>
          <w:i w:val="0"/>
          <w:color w:val="222222"/>
          <w:sz w:val="19"/>
        </w:rPr>
        <w:t>3. Scope of Covered Maintenance Services:</w:t>
      </w:r>
    </w:p>
    <w:p>
      <w:pPr>
        <w:pStyle w:val="ListBullet"/>
        <w:spacing w:after="40" w:line="276" w:lineRule="auto"/>
        <w:ind w:left="680"/>
      </w:pPr>
      <w:r>
        <w:rPr>
          <w:rFonts w:ascii="Calibri" w:hAnsi="Calibri" w:eastAsia="Calibri"/>
          <w:b w:val="0"/>
          <w:i w:val="0"/>
          <w:color w:val="222222"/>
          <w:sz w:val="19"/>
        </w:rPr>
        <w:t>Bug Fixes, Defect Resolutions, and Security Patches</w:t>
      </w:r>
    </w:p>
    <w:p>
      <w:pPr>
        <w:pStyle w:val="ListBullet"/>
        <w:spacing w:after="40" w:line="276" w:lineRule="auto"/>
        <w:ind w:left="680"/>
      </w:pPr>
      <w:r>
        <w:rPr>
          <w:rFonts w:ascii="Calibri" w:hAnsi="Calibri" w:eastAsia="Calibri"/>
          <w:b w:val="0"/>
          <w:i w:val="0"/>
          <w:color w:val="222222"/>
          <w:sz w:val="19"/>
        </w:rPr>
        <w:t>Minor Feature Enhancements and Performance Optimizations</w:t>
      </w:r>
    </w:p>
    <w:p>
      <w:pPr>
        <w:pStyle w:val="ListBullet"/>
        <w:spacing w:after="40" w:line="276" w:lineRule="auto"/>
        <w:ind w:left="680"/>
      </w:pPr>
      <w:r>
        <w:rPr>
          <w:rFonts w:ascii="Calibri" w:hAnsi="Calibri" w:eastAsia="Calibri"/>
          <w:b w:val="0"/>
          <w:i w:val="0"/>
          <w:color w:val="222222"/>
          <w:sz w:val="19"/>
        </w:rPr>
        <w:t>Mandatory Bangladesh Bank Regulatory Updates (BRPD Circular Adjustments)</w:t>
      </w:r>
    </w:p>
    <w:p>
      <w:pPr>
        <w:pStyle w:val="ListBullet"/>
        <w:spacing w:after="40" w:line="276" w:lineRule="auto"/>
        <w:ind w:left="680"/>
      </w:pPr>
      <w:r>
        <w:rPr>
          <w:rFonts w:ascii="Calibri" w:hAnsi="Calibri" w:eastAsia="Calibri"/>
          <w:b w:val="0"/>
          <w:i w:val="0"/>
          <w:color w:val="222222"/>
          <w:sz w:val="19"/>
        </w:rPr>
        <w:t>Full Version Upgrades (e.g., v2.0 to v2.1)</w:t>
      </w:r>
    </w:p>
    <w:p>
      <w:pPr>
        <w:spacing w:after="80" w:line="276" w:lineRule="auto"/>
      </w:pPr>
      <w:r>
        <w:rPr>
          <w:rFonts w:ascii="Calibri" w:hAnsi="Calibri" w:eastAsia="Calibri"/>
          <w:b w:val="0"/>
          <w:i w:val="0"/>
          <w:color w:val="222222"/>
          <w:sz w:val="19"/>
        </w:rPr>
        <w:t>4. Out-of-Scope Items (Major Custom Module Additions, Third-Party Hardware Failures)</w:t>
      </w:r>
    </w:p>
    <w:p>
      <w:pPr>
        <w:spacing w:after="80" w:line="276" w:lineRule="auto"/>
      </w:pPr>
      <w:r>
        <w:rPr>
          <w:rFonts w:ascii="Calibri" w:hAnsi="Calibri" w:eastAsia="Calibri"/>
          <w:b w:val="0"/>
          <w:i w:val="0"/>
          <w:color w:val="222222"/>
          <w:sz w:val="19"/>
        </w:rPr>
        <w:t>5. Support Escalation Governance: Tier-1 Helpdesk to Tier-3 Core Engineering Escalations</w:t>
      </w:r>
    </w:p>
    <w:p>
      <w:pPr>
        <w:spacing w:after="80" w:line="276" w:lineRule="auto"/>
      </w:pPr>
      <w:r>
        <w:rPr>
          <w:rFonts w:ascii="Calibri" w:hAnsi="Calibri" w:eastAsia="Calibri"/>
          <w:b w:val="0"/>
          <w:i w:val="0"/>
          <w:color w:val="222222"/>
          <w:sz w:val="19"/>
        </w:rPr>
        <w:t>6. Penalty Clauses and Service Credit Framework for Unscheduled Outages</w:t>
      </w:r>
    </w:p>
    <w:p>
      <w:pPr>
        <w:spacing w:after="80" w:line="276" w:lineRule="auto"/>
      </w:pPr>
      <w:r>
        <w:rPr>
          <w:rFonts w:ascii="Calibri" w:hAnsi="Calibri" w:eastAsia="Calibri"/>
          <w:b w:val="0"/>
          <w:i w:val="0"/>
          <w:color w:val="222222"/>
          <w:sz w:val="19"/>
        </w:rPr>
        <w:t>7. Contract Renewal Terms and Multi-Year Long-Term Price Locks</w:t>
      </w:r>
    </w:p>
    <w:p>
      <w:pPr>
        <w:pStyle w:val="ListBullet"/>
        <w:spacing w:after="40" w:line="276" w:lineRule="auto"/>
      </w:pPr>
      <w:r>
        <w:rPr>
          <w:rFonts w:ascii="Calibri" w:hAnsi="Calibri" w:eastAsia="Calibri"/>
          <w:b/>
          <w:i w:val="0"/>
          <w:color w:val="222222"/>
          <w:sz w:val="19"/>
        </w:rPr>
        <w:t>Core Value Proposition:</w:t>
      </w:r>
      <w:r>
        <w:rPr>
          <w:rFonts w:ascii="Calibri" w:hAnsi="Calibri" w:eastAsia="Calibri"/>
          <w:b w:val="0"/>
          <w:i w:val="0"/>
          <w:color w:val="222222"/>
          <w:sz w:val="19"/>
        </w:rPr>
        <w:t xml:space="preserve"> Secure predictable, recurring long-term annual maintenance revenue for Unisoft while providing the bank with guaranteed system longevity.</w:t>
      </w:r>
    </w:p>
    <w:p>
      <w:pPr>
        <w:pStyle w:val="ListBullet"/>
        <w:spacing w:after="40" w:line="276" w:lineRule="auto"/>
      </w:pPr>
      <w:r>
        <w:rPr>
          <w:rFonts w:ascii="Calibri" w:hAnsi="Calibri" w:eastAsia="Calibri"/>
          <w:b/>
          <w:i w:val="0"/>
          <w:color w:val="222222"/>
          <w:sz w:val="19"/>
        </w:rPr>
        <w:t>Required Inputs &amp; Exhibits:</w:t>
      </w:r>
      <w:r>
        <w:rPr>
          <w:rFonts w:ascii="Calibri" w:hAnsi="Calibri" w:eastAsia="Calibri"/>
          <w:b w:val="0"/>
          <w:i w:val="0"/>
          <w:color w:val="222222"/>
          <w:sz w:val="19"/>
        </w:rPr>
        <w:t xml:space="preserve"> Support escalation path flowchart, service credit calculation schedule.</w:t>
      </w:r>
    </w:p>
    <w:p>
      <w:pPr>
        <w:pStyle w:val="ListBullet"/>
        <w:spacing w:after="40" w:line="276" w:lineRule="auto"/>
      </w:pPr>
      <w:r>
        <w:rPr>
          <w:rFonts w:ascii="Calibri" w:hAnsi="Calibri" w:eastAsia="Calibri"/>
          <w:b/>
          <w:i w:val="0"/>
          <w:color w:val="222222"/>
          <w:sz w:val="19"/>
        </w:rPr>
        <w:t>Maintenance Owner:</w:t>
      </w:r>
      <w:r>
        <w:rPr>
          <w:rFonts w:ascii="Calibri" w:hAnsi="Calibri" w:eastAsia="Calibri"/>
          <w:b w:val="0"/>
          <w:i w:val="0"/>
          <w:color w:val="222222"/>
          <w:sz w:val="19"/>
        </w:rPr>
        <w:t xml:space="preserve"> Head of Customer Success &amp; Legal Counsel.</w:t>
      </w:r>
    </w:p>
    <w:p>
      <w:pPr>
        <w:pStyle w:val="Heading3"/>
        <w:keepNext/>
      </w:pPr>
      <w:r>
        <w:t>CATEGORY 6: REGULATORY ALIGNMENT &amp; RISK ASSURANCE WHITEPAPERS (CAT-06)</w:t>
      </w:r>
    </w:p>
    <w:p>
      <w:pPr>
        <w:keepNext/>
        <w:spacing w:before="160" w:after="40"/>
      </w:pPr>
      <w:r>
        <w:rPr>
          <w:rFonts w:ascii="Calibri" w:hAnsi="Calibri" w:eastAsia="Calibri"/>
          <w:b/>
          <w:i w:val="0"/>
          <w:color w:val="1E2660"/>
          <w:sz w:val="20"/>
        </w:rPr>
        <w:t>DOC-35: Regulatory Whitepaper: Automated Compliance with Bangladesh Bank BRPD Circular 15/2024</w:t>
      </w:r>
    </w:p>
    <w:p>
      <w:pPr>
        <w:pStyle w:val="ListBullet"/>
        <w:spacing w:after="40" w:line="276" w:lineRule="auto"/>
      </w:pPr>
      <w:r>
        <w:rPr>
          <w:rFonts w:ascii="Calibri" w:hAnsi="Calibri" w:eastAsia="Calibri"/>
          <w:b/>
          <w:i w:val="0"/>
          <w:color w:val="222222"/>
          <w:sz w:val="19"/>
        </w:rPr>
        <w:t>Target File Path:</w:t>
      </w:r>
      <w:r>
        <w:rPr>
          <w:rFonts w:ascii="Calibri" w:hAnsi="Calibri" w:eastAsia="Calibri"/>
          <w:b w:val="0"/>
          <w:i w:val="0"/>
          <w:color w:val="222222"/>
          <w:sz w:val="19"/>
        </w:rPr>
        <w:t xml:space="preserve"> </w:t>
      </w:r>
      <w:r>
        <w:rPr>
          <w:rFonts w:ascii="Consolas" w:hAnsi="Consolas" w:eastAsia="Consolas"/>
          <w:b w:val="0"/>
          <w:i w:val="0"/>
          <w:color w:val="8B0000"/>
          <w:sz w:val="18"/>
        </w:rPr>
        <w:t>business_document/06_regulatory_whitepapers/DOC-35_BRPD_15_2024_Compliance_Paper.md</w:t>
      </w:r>
    </w:p>
    <w:p>
      <w:pPr>
        <w:pStyle w:val="ListBullet"/>
        <w:spacing w:after="40" w:line="276" w:lineRule="auto"/>
      </w:pPr>
      <w:r>
        <w:rPr>
          <w:rFonts w:ascii="Calibri" w:hAnsi="Calibri" w:eastAsia="Calibri"/>
          <w:b/>
          <w:i w:val="0"/>
          <w:color w:val="222222"/>
          <w:sz w:val="19"/>
        </w:rPr>
        <w:t>Lifecycle Phase:</w:t>
      </w:r>
      <w:r>
        <w:rPr>
          <w:rFonts w:ascii="Calibri" w:hAnsi="Calibri" w:eastAsia="Calibri"/>
          <w:b w:val="0"/>
          <w:i w:val="0"/>
          <w:color w:val="222222"/>
          <w:sz w:val="19"/>
        </w:rPr>
        <w:t xml:space="preserve"> Risk &amp; Compliance Due Diligence</w:t>
      </w:r>
    </w:p>
    <w:p>
      <w:pPr>
        <w:pStyle w:val="ListBullet"/>
        <w:spacing w:after="40" w:line="276" w:lineRule="auto"/>
      </w:pPr>
      <w:r>
        <w:rPr>
          <w:rFonts w:ascii="Calibri" w:hAnsi="Calibri" w:eastAsia="Calibri"/>
          <w:b/>
          <w:i w:val="0"/>
          <w:color w:val="222222"/>
          <w:sz w:val="19"/>
        </w:rPr>
        <w:t>Target Audience:</w:t>
      </w:r>
      <w:r>
        <w:rPr>
          <w:rFonts w:ascii="Calibri" w:hAnsi="Calibri" w:eastAsia="Calibri"/>
          <w:b w:val="0"/>
          <w:i w:val="0"/>
          <w:color w:val="222222"/>
          <w:sz w:val="19"/>
        </w:rPr>
        <w:t xml:space="preserve"> Chief Risk Officers, Heads of Credit Risk Management (CRM), Heads of Internal Control &amp; Compliance (ICC)</w:t>
      </w:r>
    </w:p>
    <w:p>
      <w:pPr>
        <w:pStyle w:val="ListBullet"/>
        <w:spacing w:after="40" w:line="276" w:lineRule="auto"/>
      </w:pPr>
      <w:r>
        <w:rPr>
          <w:rFonts w:ascii="Calibri" w:hAnsi="Calibri" w:eastAsia="Calibri"/>
          <w:b/>
          <w:i w:val="0"/>
          <w:color w:val="222222"/>
          <w:sz w:val="19"/>
        </w:rPr>
        <w:t>Operational Purpose:</w:t>
      </w:r>
      <w:r>
        <w:rPr>
          <w:rFonts w:ascii="Calibri" w:hAnsi="Calibri" w:eastAsia="Calibri"/>
          <w:b w:val="0"/>
          <w:i w:val="0"/>
          <w:color w:val="222222"/>
          <w:sz w:val="19"/>
        </w:rPr>
        <w:t xml:space="preserve"> An authoritative whitepaper demonstrating how ULMS natively enforces the 7-stage loan classification rules, automated Days Past Due (DPD) tracking, and mandatory provisioning rates mandated by </w:t>
      </w:r>
      <w:r>
        <w:rPr>
          <w:rFonts w:ascii="Calibri" w:hAnsi="Calibri" w:eastAsia="Calibri"/>
          <w:b/>
          <w:i w:val="0"/>
          <w:color w:val="222222"/>
          <w:sz w:val="19"/>
        </w:rPr>
        <w:t>BRPD Circular 15/2024</w:t>
      </w:r>
      <w:r>
        <w:rPr>
          <w:rFonts w:ascii="Calibri" w:hAnsi="Calibri" w:eastAsia="Calibri"/>
          <w:b w:val="0"/>
          <w:i w:val="0"/>
          <w:color w:val="222222"/>
          <w:sz w:val="19"/>
        </w:rPr>
        <w:t>.</w:t>
      </w:r>
    </w:p>
    <w:p>
      <w:pPr>
        <w:pStyle w:val="ListBullet"/>
        <w:spacing w:after="40" w:line="276" w:lineRule="auto"/>
      </w:pPr>
      <w:r>
        <w:rPr>
          <w:rFonts w:ascii="Calibri" w:hAnsi="Calibri" w:eastAsia="Calibri"/>
          <w:b/>
          <w:i w:val="0"/>
          <w:color w:val="222222"/>
          <w:sz w:val="19"/>
        </w:rPr>
        <w:t>Detailed Table of Contents:</w:t>
      </w:r>
    </w:p>
    <w:p>
      <w:pPr>
        <w:spacing w:after="80" w:line="276" w:lineRule="auto"/>
      </w:pPr>
      <w:r>
        <w:rPr>
          <w:rFonts w:ascii="Calibri" w:hAnsi="Calibri" w:eastAsia="Calibri"/>
          <w:b w:val="0"/>
          <w:i w:val="0"/>
          <w:color w:val="222222"/>
          <w:sz w:val="19"/>
        </w:rPr>
        <w:t>1. The Regulatory Evolution: From Historical 4-Stage Classification to BRPD 15/2024’s 7-Stage Regime</w:t>
      </w:r>
    </w:p>
    <w:p>
      <w:pPr>
        <w:spacing w:after="80" w:line="276" w:lineRule="auto"/>
      </w:pPr>
      <w:r>
        <w:rPr>
          <w:rFonts w:ascii="Calibri" w:hAnsi="Calibri" w:eastAsia="Calibri"/>
          <w:b w:val="0"/>
          <w:i w:val="0"/>
          <w:color w:val="222222"/>
          <w:sz w:val="19"/>
        </w:rPr>
        <w:t>2. Exhaustive Classification Taxonomy &amp; DPD Thresholds:</w:t>
      </w:r>
    </w:p>
    <w:p>
      <w:pPr>
        <w:pStyle w:val="ListBullet"/>
        <w:spacing w:after="40" w:line="276" w:lineRule="auto"/>
        <w:ind w:left="680"/>
      </w:pPr>
      <w:r>
        <w:rPr>
          <w:rFonts w:ascii="Calibri" w:hAnsi="Calibri" w:eastAsia="Calibri"/>
          <w:b w:val="0"/>
          <w:i w:val="0"/>
          <w:color w:val="222222"/>
          <w:sz w:val="19"/>
        </w:rPr>
        <w:t>STD-0: Standard Current (0 DPD, 1% General Provision)</w:t>
      </w:r>
    </w:p>
    <w:p>
      <w:pPr>
        <w:pStyle w:val="ListBullet"/>
        <w:spacing w:after="40" w:line="276" w:lineRule="auto"/>
        <w:ind w:left="680"/>
      </w:pPr>
      <w:r>
        <w:rPr>
          <w:rFonts w:ascii="Calibri" w:hAnsi="Calibri" w:eastAsia="Calibri"/>
          <w:b w:val="0"/>
          <w:i w:val="0"/>
          <w:color w:val="222222"/>
          <w:sz w:val="19"/>
        </w:rPr>
        <w:t>STD-1: Standard Watch (1–30 DPD, 1% General Provision)</w:t>
      </w:r>
    </w:p>
    <w:p>
      <w:pPr>
        <w:pStyle w:val="ListBullet"/>
        <w:spacing w:after="40" w:line="276" w:lineRule="auto"/>
        <w:ind w:left="680"/>
      </w:pPr>
      <w:r>
        <w:rPr>
          <w:rFonts w:ascii="Calibri" w:hAnsi="Calibri" w:eastAsia="Calibri"/>
          <w:b w:val="0"/>
          <w:i w:val="0"/>
          <w:color w:val="222222"/>
          <w:sz w:val="19"/>
        </w:rPr>
        <w:t>STD-2: Standard Caution (31–60 DPD, 1% General Provision)</w:t>
      </w:r>
    </w:p>
    <w:p>
      <w:pPr>
        <w:pStyle w:val="ListBullet"/>
        <w:spacing w:after="40" w:line="276" w:lineRule="auto"/>
        <w:ind w:left="680"/>
      </w:pPr>
      <w:r>
        <w:rPr>
          <w:rFonts w:ascii="Calibri" w:hAnsi="Calibri" w:eastAsia="Calibri"/>
          <w:b w:val="0"/>
          <w:i w:val="0"/>
          <w:color w:val="222222"/>
          <w:sz w:val="19"/>
        </w:rPr>
        <w:t>SMA: Special Mention Account (61–90 DPD, 5% General Provision)</w:t>
      </w:r>
    </w:p>
    <w:p>
      <w:pPr>
        <w:pStyle w:val="ListBullet"/>
        <w:spacing w:after="40" w:line="276" w:lineRule="auto"/>
        <w:ind w:left="680"/>
      </w:pPr>
      <w:r>
        <w:rPr>
          <w:rFonts w:ascii="Calibri" w:hAnsi="Calibri" w:eastAsia="Calibri"/>
          <w:b w:val="0"/>
          <w:i w:val="0"/>
          <w:color w:val="222222"/>
          <w:sz w:val="19"/>
        </w:rPr>
        <w:t>SS: Sub-Standard (91–180 DPD, 20% Specific Provision)</w:t>
      </w:r>
    </w:p>
    <w:p>
      <w:pPr>
        <w:pStyle w:val="ListBullet"/>
        <w:spacing w:after="40" w:line="276" w:lineRule="auto"/>
        <w:ind w:left="680"/>
      </w:pPr>
      <w:r>
        <w:rPr>
          <w:rFonts w:ascii="Calibri" w:hAnsi="Calibri" w:eastAsia="Calibri"/>
          <w:b w:val="0"/>
          <w:i w:val="0"/>
          <w:color w:val="222222"/>
          <w:sz w:val="19"/>
        </w:rPr>
        <w:t>DF: Doubtful (181–365 DPD, 50% Specific Provision)</w:t>
      </w:r>
    </w:p>
    <w:p>
      <w:pPr>
        <w:pStyle w:val="ListBullet"/>
        <w:spacing w:after="40" w:line="276" w:lineRule="auto"/>
        <w:ind w:left="680"/>
      </w:pPr>
      <w:r>
        <w:rPr>
          <w:rFonts w:ascii="Calibri" w:hAnsi="Calibri" w:eastAsia="Calibri"/>
          <w:b w:val="0"/>
          <w:i w:val="0"/>
          <w:color w:val="222222"/>
          <w:sz w:val="19"/>
        </w:rPr>
        <w:t>B/L: Bad / Loss (&gt;365 DPD, 100% Specific Provision)</w:t>
      </w:r>
    </w:p>
    <w:p>
      <w:pPr>
        <w:spacing w:after="80" w:line="276" w:lineRule="auto"/>
      </w:pPr>
      <w:r>
        <w:rPr>
          <w:rFonts w:ascii="Calibri" w:hAnsi="Calibri" w:eastAsia="Calibri"/>
          <w:b w:val="0"/>
          <w:i w:val="0"/>
          <w:color w:val="222222"/>
          <w:sz w:val="19"/>
        </w:rPr>
        <w:t>3. The ULMS Automated Classification Engine: Nightly End-of-Day (EOD) Batch Computation</w:t>
      </w:r>
    </w:p>
    <w:p>
      <w:pPr>
        <w:spacing w:after="80" w:line="276" w:lineRule="auto"/>
      </w:pPr>
      <w:r>
        <w:rPr>
          <w:rFonts w:ascii="Calibri" w:hAnsi="Calibri" w:eastAsia="Calibri"/>
          <w:b w:val="0"/>
          <w:i w:val="0"/>
          <w:color w:val="222222"/>
          <w:sz w:val="19"/>
        </w:rPr>
        <w:t>4. Eligible Collateral Valuation and Netting Rules: Security Deduction Logic per Central Bank Norms</w:t>
      </w:r>
    </w:p>
    <w:p>
      <w:pPr>
        <w:spacing w:after="80" w:line="276" w:lineRule="auto"/>
      </w:pPr>
      <w:r>
        <w:rPr>
          <w:rFonts w:ascii="Calibri" w:hAnsi="Calibri" w:eastAsia="Calibri"/>
          <w:b w:val="0"/>
          <w:i w:val="0"/>
          <w:color w:val="222222"/>
          <w:sz w:val="19"/>
        </w:rPr>
        <w:t>5. Rescheduling, Restructuring &amp; Moratorium Rules: Tracking Concessions and Downgrade Freezes</w:t>
      </w:r>
    </w:p>
    <w:p>
      <w:pPr>
        <w:spacing w:after="80" w:line="276" w:lineRule="auto"/>
      </w:pPr>
      <w:r>
        <w:rPr>
          <w:rFonts w:ascii="Calibri" w:hAnsi="Calibri" w:eastAsia="Calibri"/>
          <w:b w:val="0"/>
          <w:i w:val="0"/>
          <w:color w:val="222222"/>
          <w:sz w:val="19"/>
        </w:rPr>
        <w:t>6. Automated Generation of CL-1 through CL-5 Regulatory Returns for Bangladesh Bank</w:t>
      </w:r>
    </w:p>
    <w:p>
      <w:pPr>
        <w:spacing w:after="80" w:line="276" w:lineRule="auto"/>
      </w:pPr>
      <w:r>
        <w:rPr>
          <w:rFonts w:ascii="Calibri" w:hAnsi="Calibri" w:eastAsia="Calibri"/>
          <w:b w:val="0"/>
          <w:i w:val="0"/>
          <w:color w:val="222222"/>
          <w:sz w:val="19"/>
        </w:rPr>
        <w:t>7. Audit Defense: Complete Historical Audit Trails of Every Status Transition and Manual Override</w:t>
      </w:r>
    </w:p>
    <w:p>
      <w:pPr>
        <w:pStyle w:val="ListBullet"/>
        <w:spacing w:after="40" w:line="276" w:lineRule="auto"/>
      </w:pPr>
      <w:r>
        <w:rPr>
          <w:rFonts w:ascii="Calibri" w:hAnsi="Calibri" w:eastAsia="Calibri"/>
          <w:b/>
          <w:i w:val="0"/>
          <w:color w:val="222222"/>
          <w:sz w:val="19"/>
        </w:rPr>
        <w:t>Core Value Proposition:</w:t>
      </w:r>
      <w:r>
        <w:rPr>
          <w:rFonts w:ascii="Calibri" w:hAnsi="Calibri" w:eastAsia="Calibri"/>
          <w:b w:val="0"/>
          <w:i w:val="0"/>
          <w:color w:val="222222"/>
          <w:sz w:val="19"/>
        </w:rPr>
        <w:t xml:space="preserve"> Remove all compliance anxiety from the Chief Risk Officer, proving that ULMS completely eliminates the threat of central bank penalties for misclassification.</w:t>
      </w:r>
    </w:p>
    <w:p>
      <w:pPr>
        <w:pStyle w:val="ListBullet"/>
        <w:spacing w:after="40" w:line="276" w:lineRule="auto"/>
      </w:pPr>
      <w:r>
        <w:rPr>
          <w:rFonts w:ascii="Calibri" w:hAnsi="Calibri" w:eastAsia="Calibri"/>
          <w:b/>
          <w:i w:val="0"/>
          <w:color w:val="222222"/>
          <w:sz w:val="19"/>
        </w:rPr>
        <w:t>Required Inputs &amp; Exhibits:</w:t>
      </w:r>
      <w:r>
        <w:rPr>
          <w:rFonts w:ascii="Calibri" w:hAnsi="Calibri" w:eastAsia="Calibri"/>
          <w:b w:val="0"/>
          <w:i w:val="0"/>
          <w:color w:val="222222"/>
          <w:sz w:val="19"/>
        </w:rPr>
        <w:t xml:space="preserve"> Mathematical provisioning formulas, automated classification state transition diagram.</w:t>
      </w:r>
    </w:p>
    <w:p>
      <w:pPr>
        <w:pStyle w:val="ListBullet"/>
        <w:spacing w:after="40" w:line="276" w:lineRule="auto"/>
      </w:pPr>
      <w:r>
        <w:rPr>
          <w:rFonts w:ascii="Calibri" w:hAnsi="Calibri" w:eastAsia="Calibri"/>
          <w:b/>
          <w:i w:val="0"/>
          <w:color w:val="222222"/>
          <w:sz w:val="19"/>
        </w:rPr>
        <w:t>Maintenance Owner:</w:t>
      </w:r>
      <w:r>
        <w:rPr>
          <w:rFonts w:ascii="Calibri" w:hAnsi="Calibri" w:eastAsia="Calibri"/>
          <w:b w:val="0"/>
          <w:i w:val="0"/>
          <w:color w:val="222222"/>
          <w:sz w:val="19"/>
        </w:rPr>
        <w:t xml:space="preserve"> Regulatory Compliance &amp; Risk Engineering Specialist.</w:t>
      </w:r>
    </w:p>
    <w:p>
      <w:pPr>
        <w:keepNext/>
        <w:spacing w:before="160" w:after="40"/>
      </w:pPr>
      <w:r>
        <w:rPr>
          <w:rFonts w:ascii="Calibri" w:hAnsi="Calibri" w:eastAsia="Calibri"/>
          <w:b/>
          <w:i w:val="0"/>
          <w:color w:val="1E2660"/>
          <w:sz w:val="20"/>
        </w:rPr>
        <w:t>DOC-36: Compliance Dossier: IFRS-9 Expected Credit Loss (ECL) Calculation Engine</w:t>
      </w:r>
    </w:p>
    <w:p>
      <w:pPr>
        <w:pStyle w:val="ListBullet"/>
        <w:spacing w:after="40" w:line="276" w:lineRule="auto"/>
      </w:pPr>
      <w:r>
        <w:rPr>
          <w:rFonts w:ascii="Calibri" w:hAnsi="Calibri" w:eastAsia="Calibri"/>
          <w:b/>
          <w:i w:val="0"/>
          <w:color w:val="222222"/>
          <w:sz w:val="19"/>
        </w:rPr>
        <w:t>Target File Path:</w:t>
      </w:r>
      <w:r>
        <w:rPr>
          <w:rFonts w:ascii="Calibri" w:hAnsi="Calibri" w:eastAsia="Calibri"/>
          <w:b w:val="0"/>
          <w:i w:val="0"/>
          <w:color w:val="222222"/>
          <w:sz w:val="19"/>
        </w:rPr>
        <w:t xml:space="preserve"> </w:t>
      </w:r>
      <w:r>
        <w:rPr>
          <w:rFonts w:ascii="Consolas" w:hAnsi="Consolas" w:eastAsia="Consolas"/>
          <w:b w:val="0"/>
          <w:i w:val="0"/>
          <w:color w:val="8B0000"/>
          <w:sz w:val="18"/>
        </w:rPr>
        <w:t>business_document/06_regulatory_whitepapers/DOC-36_IFRS9_ECL_Calculation_Dossier.md</w:t>
      </w:r>
    </w:p>
    <w:p>
      <w:pPr>
        <w:pStyle w:val="ListBullet"/>
        <w:spacing w:after="40" w:line="276" w:lineRule="auto"/>
      </w:pPr>
      <w:r>
        <w:rPr>
          <w:rFonts w:ascii="Calibri" w:hAnsi="Calibri" w:eastAsia="Calibri"/>
          <w:b/>
          <w:i w:val="0"/>
          <w:color w:val="222222"/>
          <w:sz w:val="19"/>
        </w:rPr>
        <w:t>Lifecycle Phase:</w:t>
      </w:r>
      <w:r>
        <w:rPr>
          <w:rFonts w:ascii="Calibri" w:hAnsi="Calibri" w:eastAsia="Calibri"/>
          <w:b w:val="0"/>
          <w:i w:val="0"/>
          <w:color w:val="222222"/>
          <w:sz w:val="19"/>
        </w:rPr>
        <w:t xml:space="preserve"> Risk &amp; Finance Due Diligence</w:t>
      </w:r>
    </w:p>
    <w:p>
      <w:pPr>
        <w:pStyle w:val="ListBullet"/>
        <w:spacing w:after="40" w:line="276" w:lineRule="auto"/>
      </w:pPr>
      <w:r>
        <w:rPr>
          <w:rFonts w:ascii="Calibri" w:hAnsi="Calibri" w:eastAsia="Calibri"/>
          <w:b/>
          <w:i w:val="0"/>
          <w:color w:val="222222"/>
          <w:sz w:val="19"/>
        </w:rPr>
        <w:t>Target Audience:</w:t>
      </w:r>
      <w:r>
        <w:rPr>
          <w:rFonts w:ascii="Calibri" w:hAnsi="Calibri" w:eastAsia="Calibri"/>
          <w:b w:val="0"/>
          <w:i w:val="0"/>
          <w:color w:val="222222"/>
          <w:sz w:val="19"/>
        </w:rPr>
        <w:t xml:space="preserve"> Chief Risk Officers, Chief Financial Officers, External Audit Partners (Big 4)</w:t>
      </w:r>
    </w:p>
    <w:p>
      <w:pPr>
        <w:pStyle w:val="ListBullet"/>
        <w:spacing w:after="40" w:line="276" w:lineRule="auto"/>
      </w:pPr>
      <w:r>
        <w:rPr>
          <w:rFonts w:ascii="Calibri" w:hAnsi="Calibri" w:eastAsia="Calibri"/>
          <w:b/>
          <w:i w:val="0"/>
          <w:color w:val="222222"/>
          <w:sz w:val="19"/>
        </w:rPr>
        <w:t>Operational Purpose:</w:t>
      </w:r>
      <w:r>
        <w:rPr>
          <w:rFonts w:ascii="Calibri" w:hAnsi="Calibri" w:eastAsia="Calibri"/>
          <w:b w:val="0"/>
          <w:i w:val="0"/>
          <w:color w:val="222222"/>
          <w:sz w:val="19"/>
        </w:rPr>
        <w:t xml:space="preserve"> A mathematical, technical compliance dossier explaining ULMS’s built-in forward-looking Expected Credit Loss (ECL) engine mandated by Bangladesh Bank for industry-wide enforcement by </w:t>
      </w:r>
      <w:r>
        <w:rPr>
          <w:rFonts w:ascii="Calibri" w:hAnsi="Calibri" w:eastAsia="Calibri"/>
          <w:b/>
          <w:i w:val="0"/>
          <w:color w:val="222222"/>
          <w:sz w:val="19"/>
        </w:rPr>
        <w:t>December 31, 2027</w:t>
      </w:r>
      <w:r>
        <w:rPr>
          <w:rFonts w:ascii="Calibri" w:hAnsi="Calibri" w:eastAsia="Calibri"/>
          <w:b w:val="0"/>
          <w:i w:val="0"/>
          <w:color w:val="222222"/>
          <w:sz w:val="19"/>
        </w:rPr>
        <w:t>.</w:t>
      </w:r>
    </w:p>
    <w:p>
      <w:pPr>
        <w:pStyle w:val="ListBullet"/>
        <w:spacing w:after="40" w:line="276" w:lineRule="auto"/>
      </w:pPr>
      <w:r>
        <w:rPr>
          <w:rFonts w:ascii="Calibri" w:hAnsi="Calibri" w:eastAsia="Calibri"/>
          <w:b/>
          <w:i w:val="0"/>
          <w:color w:val="222222"/>
          <w:sz w:val="19"/>
        </w:rPr>
        <w:t>Detailed Table of Contents:</w:t>
      </w:r>
    </w:p>
    <w:p>
      <w:pPr>
        <w:spacing w:after="80" w:line="276" w:lineRule="auto"/>
      </w:pPr>
      <w:r>
        <w:rPr>
          <w:rFonts w:ascii="Calibri" w:hAnsi="Calibri" w:eastAsia="Calibri"/>
          <w:b w:val="0"/>
          <w:i w:val="0"/>
          <w:color w:val="222222"/>
          <w:sz w:val="19"/>
        </w:rPr>
        <w:t>1. The IFRS-9 Mandate: Shifting from Incurred Loss Accounting to Forward-Looking Expected Credit Loss (ECL)</w:t>
      </w:r>
    </w:p>
    <w:p>
      <w:pPr>
        <w:spacing w:after="80" w:line="276" w:lineRule="auto"/>
      </w:pPr>
      <w:r>
        <w:rPr>
          <w:rFonts w:ascii="Calibri" w:hAnsi="Calibri" w:eastAsia="Calibri"/>
          <w:b w:val="0"/>
          <w:i w:val="0"/>
          <w:color w:val="222222"/>
          <w:sz w:val="19"/>
        </w:rPr>
        <w:t>2. The Three-Stage Impairment Model:</w:t>
      </w:r>
    </w:p>
    <w:p>
      <w:pPr>
        <w:pStyle w:val="ListBullet"/>
        <w:spacing w:after="40" w:line="276" w:lineRule="auto"/>
        <w:ind w:left="680"/>
      </w:pPr>
      <w:r>
        <w:rPr>
          <w:rFonts w:ascii="Calibri" w:hAnsi="Calibri" w:eastAsia="Calibri"/>
          <w:b w:val="0"/>
          <w:i w:val="0"/>
          <w:color w:val="222222"/>
          <w:sz w:val="19"/>
        </w:rPr>
        <w:t>Stage 1: Performing Loans (12-Month ECL Calculation)</w:t>
      </w:r>
    </w:p>
    <w:p>
      <w:pPr>
        <w:pStyle w:val="ListBullet"/>
        <w:spacing w:after="40" w:line="276" w:lineRule="auto"/>
        <w:ind w:left="680"/>
      </w:pPr>
      <w:r>
        <w:rPr>
          <w:rFonts w:ascii="Calibri" w:hAnsi="Calibri" w:eastAsia="Calibri"/>
          <w:b w:val="0"/>
          <w:i w:val="0"/>
          <w:color w:val="222222"/>
          <w:sz w:val="19"/>
        </w:rPr>
        <w:t>Stage 2: Underperforming Loans with Significant Increase in Credit Risk (SICR) (Lifetime ECL)</w:t>
      </w:r>
    </w:p>
    <w:p>
      <w:pPr>
        <w:pStyle w:val="ListBullet"/>
        <w:spacing w:after="40" w:line="276" w:lineRule="auto"/>
        <w:ind w:left="680"/>
      </w:pPr>
      <w:r>
        <w:rPr>
          <w:rFonts w:ascii="Calibri" w:hAnsi="Calibri" w:eastAsia="Calibri"/>
          <w:b w:val="0"/>
          <w:i w:val="0"/>
          <w:color w:val="222222"/>
          <w:sz w:val="19"/>
        </w:rPr>
        <w:t>Stage 3: Credit-Impaired Non-Performing Loans (Lifetime ECL with Net Interest)</w:t>
      </w:r>
    </w:p>
    <w:p>
      <w:pPr>
        <w:spacing w:after="80" w:line="276" w:lineRule="auto"/>
      </w:pPr>
      <w:r>
        <w:rPr>
          <w:rFonts w:ascii="Calibri" w:hAnsi="Calibri" w:eastAsia="Calibri"/>
          <w:b w:val="0"/>
          <w:i w:val="0"/>
          <w:color w:val="222222"/>
          <w:sz w:val="19"/>
        </w:rPr>
        <w:t>3. The Mathematical ECL Formula Engine:</w:t>
      </w:r>
    </w:p>
    <w:p>
      <w:pPr>
        <w:spacing w:after="80" w:line="276" w:lineRule="auto"/>
      </w:pPr>
      <w:r>
        <w:rPr>
          <w:rFonts w:ascii="Calibri" w:hAnsi="Calibri" w:eastAsia="Calibri"/>
          <w:b w:val="0"/>
          <w:i w:val="0"/>
          <w:color w:val="222222"/>
          <w:sz w:val="19"/>
        </w:rPr>
        <w:t>$$\text{ECL} = \sum (\text{PD}_t \times \text{LGD}_t \times \text{EAD}_t \times \text{DF}_t)$$</w:t>
      </w:r>
    </w:p>
    <w:p>
      <w:pPr>
        <w:spacing w:after="80" w:line="276" w:lineRule="auto"/>
      </w:pPr>
      <w:r>
        <w:rPr>
          <w:rFonts w:ascii="Calibri" w:hAnsi="Calibri" w:eastAsia="Calibri"/>
          <w:b w:val="0"/>
          <w:i w:val="0"/>
          <w:color w:val="222222"/>
          <w:sz w:val="19"/>
        </w:rPr>
        <w:t>4. Probability of Default (PD) Modeling: Point-in-Time (PiT) Transition Matrices &amp; Macroeconomic Stress Factoring</w:t>
      </w:r>
    </w:p>
    <w:p>
      <w:pPr>
        <w:spacing w:after="80" w:line="276" w:lineRule="auto"/>
      </w:pPr>
      <w:r>
        <w:rPr>
          <w:rFonts w:ascii="Calibri" w:hAnsi="Calibri" w:eastAsia="Calibri"/>
          <w:b w:val="0"/>
          <w:i w:val="0"/>
          <w:color w:val="222222"/>
          <w:sz w:val="19"/>
        </w:rPr>
        <w:t>5. Loss Given Default (LGD) Modeling: Collateral Recovery Haircuts, Time-Value of Money Discounting</w:t>
      </w:r>
    </w:p>
    <w:p>
      <w:pPr>
        <w:spacing w:after="80" w:line="276" w:lineRule="auto"/>
      </w:pPr>
      <w:r>
        <w:rPr>
          <w:rFonts w:ascii="Calibri" w:hAnsi="Calibri" w:eastAsia="Calibri"/>
          <w:b w:val="0"/>
          <w:i w:val="0"/>
          <w:color w:val="222222"/>
          <w:sz w:val="19"/>
        </w:rPr>
        <w:t>6. Exposure at Default (EAD) Modeling: Amortizing Balances and Credit Conversion Factors (CCF) for Off-Balance Commitments</w:t>
      </w:r>
    </w:p>
    <w:p>
      <w:pPr>
        <w:spacing w:after="80" w:line="276" w:lineRule="auto"/>
      </w:pPr>
      <w:r>
        <w:rPr>
          <w:rFonts w:ascii="Calibri" w:hAnsi="Calibri" w:eastAsia="Calibri"/>
          <w:b w:val="0"/>
          <w:i w:val="0"/>
          <w:color w:val="222222"/>
          <w:sz w:val="19"/>
        </w:rPr>
        <w:t>7. Automated Journal Entries: Generating Balanced General Ledger Entries for CBS Posting</w:t>
      </w:r>
    </w:p>
    <w:p>
      <w:pPr>
        <w:pStyle w:val="ListBullet"/>
        <w:spacing w:after="40" w:line="276" w:lineRule="auto"/>
      </w:pPr>
      <w:r>
        <w:rPr>
          <w:rFonts w:ascii="Calibri" w:hAnsi="Calibri" w:eastAsia="Calibri"/>
          <w:b/>
          <w:i w:val="0"/>
          <w:color w:val="222222"/>
          <w:sz w:val="19"/>
        </w:rPr>
        <w:t>Core Value Proposition:</w:t>
      </w:r>
      <w:r>
        <w:rPr>
          <w:rFonts w:ascii="Calibri" w:hAnsi="Calibri" w:eastAsia="Calibri"/>
          <w:b w:val="0"/>
          <w:i w:val="0"/>
          <w:color w:val="222222"/>
          <w:sz w:val="19"/>
        </w:rPr>
        <w:t xml:space="preserve"> Position ULMS as a future-proof investment that solves the bank’s looming 2027 IFRS-9 regulatory crisis today.</w:t>
      </w:r>
    </w:p>
    <w:p>
      <w:pPr>
        <w:pStyle w:val="ListBullet"/>
        <w:spacing w:after="40" w:line="276" w:lineRule="auto"/>
      </w:pPr>
      <w:r>
        <w:rPr>
          <w:rFonts w:ascii="Calibri" w:hAnsi="Calibri" w:eastAsia="Calibri"/>
          <w:b/>
          <w:i w:val="0"/>
          <w:color w:val="222222"/>
          <w:sz w:val="19"/>
        </w:rPr>
        <w:t>Required Inputs &amp; Exhibits:</w:t>
      </w:r>
      <w:r>
        <w:rPr>
          <w:rFonts w:ascii="Calibri" w:hAnsi="Calibri" w:eastAsia="Calibri"/>
          <w:b w:val="0"/>
          <w:i w:val="0"/>
          <w:color w:val="222222"/>
          <w:sz w:val="19"/>
        </w:rPr>
        <w:t xml:space="preserve"> Formal KaTeX mathematical proofs, stage transition matrix diagrams, sample ECL journal entries.</w:t>
      </w:r>
    </w:p>
    <w:p>
      <w:pPr>
        <w:pStyle w:val="ListBullet"/>
        <w:spacing w:after="40" w:line="276" w:lineRule="auto"/>
      </w:pPr>
      <w:r>
        <w:rPr>
          <w:rFonts w:ascii="Calibri" w:hAnsi="Calibri" w:eastAsia="Calibri"/>
          <w:b/>
          <w:i w:val="0"/>
          <w:color w:val="222222"/>
          <w:sz w:val="19"/>
        </w:rPr>
        <w:t>Maintenance Owner:</w:t>
      </w:r>
      <w:r>
        <w:rPr>
          <w:rFonts w:ascii="Calibri" w:hAnsi="Calibri" w:eastAsia="Calibri"/>
          <w:b w:val="0"/>
          <w:i w:val="0"/>
          <w:color w:val="222222"/>
          <w:sz w:val="19"/>
        </w:rPr>
        <w:t xml:space="preserve"> Lead Quantitative Risk Modeler &amp; Financial Architect.</w:t>
      </w:r>
    </w:p>
    <w:p>
      <w:pPr>
        <w:keepNext/>
        <w:spacing w:before="160" w:after="40"/>
      </w:pPr>
      <w:r>
        <w:rPr>
          <w:rFonts w:ascii="Calibri" w:hAnsi="Calibri" w:eastAsia="Calibri"/>
          <w:b/>
          <w:i w:val="0"/>
          <w:color w:val="1E2660"/>
          <w:sz w:val="20"/>
        </w:rPr>
        <w:t>DOC-37: Regulatory Guide: Seamless CIB Online Real-Time Inquiries &amp; Monthly Reporting</w:t>
      </w:r>
    </w:p>
    <w:p>
      <w:pPr>
        <w:pStyle w:val="ListBullet"/>
        <w:spacing w:after="40" w:line="276" w:lineRule="auto"/>
      </w:pPr>
      <w:r>
        <w:rPr>
          <w:rFonts w:ascii="Calibri" w:hAnsi="Calibri" w:eastAsia="Calibri"/>
          <w:b/>
          <w:i w:val="0"/>
          <w:color w:val="222222"/>
          <w:sz w:val="19"/>
        </w:rPr>
        <w:t>Target File Path:</w:t>
      </w:r>
      <w:r>
        <w:rPr>
          <w:rFonts w:ascii="Calibri" w:hAnsi="Calibri" w:eastAsia="Calibri"/>
          <w:b w:val="0"/>
          <w:i w:val="0"/>
          <w:color w:val="222222"/>
          <w:sz w:val="19"/>
        </w:rPr>
        <w:t xml:space="preserve"> </w:t>
      </w:r>
      <w:r>
        <w:rPr>
          <w:rFonts w:ascii="Consolas" w:hAnsi="Consolas" w:eastAsia="Consolas"/>
          <w:b w:val="0"/>
          <w:i w:val="0"/>
          <w:color w:val="8B0000"/>
          <w:sz w:val="18"/>
        </w:rPr>
        <w:t>business_document/06_regulatory_whitepapers/DOC-37_CIB_Online_Integration_Dossier.md</w:t>
      </w:r>
    </w:p>
    <w:p>
      <w:pPr>
        <w:pStyle w:val="ListBullet"/>
        <w:spacing w:after="40" w:line="276" w:lineRule="auto"/>
      </w:pPr>
      <w:r>
        <w:rPr>
          <w:rFonts w:ascii="Calibri" w:hAnsi="Calibri" w:eastAsia="Calibri"/>
          <w:b/>
          <w:i w:val="0"/>
          <w:color w:val="222222"/>
          <w:sz w:val="19"/>
        </w:rPr>
        <w:t>Lifecycle Phase:</w:t>
      </w:r>
      <w:r>
        <w:rPr>
          <w:rFonts w:ascii="Calibri" w:hAnsi="Calibri" w:eastAsia="Calibri"/>
          <w:b w:val="0"/>
          <w:i w:val="0"/>
          <w:color w:val="222222"/>
          <w:sz w:val="19"/>
        </w:rPr>
        <w:t xml:space="preserve"> Credit Operations &amp; Risk Assessment</w:t>
      </w:r>
    </w:p>
    <w:p>
      <w:pPr>
        <w:pStyle w:val="ListBullet"/>
        <w:spacing w:after="40" w:line="276" w:lineRule="auto"/>
      </w:pPr>
      <w:r>
        <w:rPr>
          <w:rFonts w:ascii="Calibri" w:hAnsi="Calibri" w:eastAsia="Calibri"/>
          <w:b/>
          <w:i w:val="0"/>
          <w:color w:val="222222"/>
          <w:sz w:val="19"/>
        </w:rPr>
        <w:t>Target Audience:</w:t>
      </w:r>
      <w:r>
        <w:rPr>
          <w:rFonts w:ascii="Calibri" w:hAnsi="Calibri" w:eastAsia="Calibri"/>
          <w:b w:val="0"/>
          <w:i w:val="0"/>
          <w:color w:val="222222"/>
          <w:sz w:val="19"/>
        </w:rPr>
        <w:t xml:space="preserve"> Head of Credit Administration, Head of CIB Cell, Head of IT Operations</w:t>
      </w:r>
    </w:p>
    <w:p>
      <w:pPr>
        <w:pStyle w:val="ListBullet"/>
        <w:spacing w:after="40" w:line="276" w:lineRule="auto"/>
      </w:pPr>
      <w:r>
        <w:rPr>
          <w:rFonts w:ascii="Calibri" w:hAnsi="Calibri" w:eastAsia="Calibri"/>
          <w:b/>
          <w:i w:val="0"/>
          <w:color w:val="222222"/>
          <w:sz w:val="19"/>
        </w:rPr>
        <w:t>Operational Purpose:</w:t>
      </w:r>
      <w:r>
        <w:rPr>
          <w:rFonts w:ascii="Calibri" w:hAnsi="Calibri" w:eastAsia="Calibri"/>
          <w:b w:val="0"/>
          <w:i w:val="0"/>
          <w:color w:val="222222"/>
          <w:sz w:val="19"/>
        </w:rPr>
        <w:t xml:space="preserve"> Technical and operational guide detailing how ULMS automates real-time inquiries into the Bangladesh Bank Credit Information Bureau (CIB) Online portal and generates monthly batch reporting returns.</w:t>
      </w:r>
    </w:p>
    <w:p>
      <w:pPr>
        <w:pStyle w:val="ListBullet"/>
        <w:spacing w:after="40" w:line="276" w:lineRule="auto"/>
      </w:pPr>
      <w:r>
        <w:rPr>
          <w:rFonts w:ascii="Calibri" w:hAnsi="Calibri" w:eastAsia="Calibri"/>
          <w:b/>
          <w:i w:val="0"/>
          <w:color w:val="222222"/>
          <w:sz w:val="19"/>
        </w:rPr>
        <w:t>Detailed Table of Contents:</w:t>
      </w:r>
    </w:p>
    <w:p>
      <w:pPr>
        <w:spacing w:after="80" w:line="276" w:lineRule="auto"/>
      </w:pPr>
      <w:r>
        <w:rPr>
          <w:rFonts w:ascii="Calibri" w:hAnsi="Calibri" w:eastAsia="Calibri"/>
          <w:b w:val="0"/>
          <w:i w:val="0"/>
          <w:color w:val="222222"/>
          <w:sz w:val="19"/>
        </w:rPr>
        <w:t>1. The Importance of CIB in Bangladesh Banking (Mandatory Verification Before Any Sanction or Renewal)</w:t>
      </w:r>
    </w:p>
    <w:p>
      <w:pPr>
        <w:spacing w:after="80" w:line="276" w:lineRule="auto"/>
      </w:pPr>
      <w:r>
        <w:rPr>
          <w:rFonts w:ascii="Calibri" w:hAnsi="Calibri" w:eastAsia="Calibri"/>
          <w:b w:val="0"/>
          <w:i w:val="0"/>
          <w:color w:val="222222"/>
          <w:sz w:val="19"/>
        </w:rPr>
        <w:t>2. Manual CIB Bottlenecks: Physical Form Submission, Login Sharing, 48-Hour Delays, Misplaced Reports</w:t>
      </w:r>
    </w:p>
    <w:p>
      <w:pPr>
        <w:spacing w:after="80" w:line="276" w:lineRule="auto"/>
      </w:pPr>
      <w:r>
        <w:rPr>
          <w:rFonts w:ascii="Calibri" w:hAnsi="Calibri" w:eastAsia="Calibri"/>
          <w:b w:val="0"/>
          <w:i w:val="0"/>
          <w:color w:val="222222"/>
          <w:sz w:val="19"/>
        </w:rPr>
        <w:t>3. ULMS CIB Real-Time REST Connector: Automated Machine-to-Machine Inquiry via Central Bank Gateway</w:t>
      </w:r>
    </w:p>
    <w:p>
      <w:pPr>
        <w:spacing w:after="80" w:line="276" w:lineRule="auto"/>
      </w:pPr>
      <w:r>
        <w:rPr>
          <w:rFonts w:ascii="Calibri" w:hAnsi="Calibri" w:eastAsia="Calibri"/>
          <w:b w:val="0"/>
          <w:i w:val="0"/>
          <w:color w:val="222222"/>
          <w:sz w:val="19"/>
        </w:rPr>
        <w:t>4. Automated Deduplication &amp; NID/TIN Cross-Verification</w:t>
      </w:r>
    </w:p>
    <w:p>
      <w:pPr>
        <w:spacing w:after="80" w:line="276" w:lineRule="auto"/>
      </w:pPr>
      <w:r>
        <w:rPr>
          <w:rFonts w:ascii="Calibri" w:hAnsi="Calibri" w:eastAsia="Calibri"/>
          <w:b w:val="0"/>
          <w:i w:val="0"/>
          <w:color w:val="222222"/>
          <w:sz w:val="19"/>
        </w:rPr>
        <w:t>5. CIB Inquiry Fee Accounting: Automated Debit of Customer Account for Inquiry Charges</w:t>
      </w:r>
    </w:p>
    <w:p>
      <w:pPr>
        <w:spacing w:after="80" w:line="276" w:lineRule="auto"/>
      </w:pPr>
      <w:r>
        <w:rPr>
          <w:rFonts w:ascii="Calibri" w:hAnsi="Calibri" w:eastAsia="Calibri"/>
          <w:b w:val="0"/>
          <w:i w:val="0"/>
          <w:color w:val="222222"/>
          <w:sz w:val="19"/>
        </w:rPr>
        <w:t>6. Automated CIB Report Ingestion &amp; PDF Parsing into Credit Scorecards</w:t>
      </w:r>
    </w:p>
    <w:p>
      <w:pPr>
        <w:spacing w:after="80" w:line="276" w:lineRule="auto"/>
      </w:pPr>
      <w:r>
        <w:rPr>
          <w:rFonts w:ascii="Calibri" w:hAnsi="Calibri" w:eastAsia="Calibri"/>
          <w:b w:val="0"/>
          <w:i w:val="0"/>
          <w:color w:val="222222"/>
          <w:sz w:val="19"/>
        </w:rPr>
        <w:t>7. Monthly Batch Reporting Engine: Generating Error-Free Monthly Subject and Contract Files per Central Bank Specifications</w:t>
      </w:r>
    </w:p>
    <w:p>
      <w:pPr>
        <w:spacing w:after="80" w:line="276" w:lineRule="auto"/>
      </w:pPr>
      <w:r>
        <w:rPr>
          <w:rFonts w:ascii="Calibri" w:hAnsi="Calibri" w:eastAsia="Calibri"/>
          <w:b w:val="0"/>
          <w:i w:val="0"/>
          <w:color w:val="222222"/>
          <w:sz w:val="19"/>
        </w:rPr>
        <w:t>8. Handling Error Rejections and Automated Reconciliation</w:t>
      </w:r>
    </w:p>
    <w:p>
      <w:pPr>
        <w:pStyle w:val="ListBullet"/>
        <w:spacing w:after="40" w:line="276" w:lineRule="auto"/>
      </w:pPr>
      <w:r>
        <w:rPr>
          <w:rFonts w:ascii="Calibri" w:hAnsi="Calibri" w:eastAsia="Calibri"/>
          <w:b/>
          <w:i w:val="0"/>
          <w:color w:val="222222"/>
          <w:sz w:val="19"/>
        </w:rPr>
        <w:t>Core Value Proposition:</w:t>
      </w:r>
      <w:r>
        <w:rPr>
          <w:rFonts w:ascii="Calibri" w:hAnsi="Calibri" w:eastAsia="Calibri"/>
          <w:b w:val="0"/>
          <w:i w:val="0"/>
          <w:color w:val="222222"/>
          <w:sz w:val="19"/>
        </w:rPr>
        <w:t xml:space="preserve"> Demonstrate how ULMS transforms the bank's CIB cell from a slow, manual bottleneck into an instant, automated verification pipeline.</w:t>
      </w:r>
    </w:p>
    <w:p>
      <w:pPr>
        <w:pStyle w:val="ListBullet"/>
        <w:spacing w:after="40" w:line="276" w:lineRule="auto"/>
      </w:pPr>
      <w:r>
        <w:rPr>
          <w:rFonts w:ascii="Calibri" w:hAnsi="Calibri" w:eastAsia="Calibri"/>
          <w:b/>
          <w:i w:val="0"/>
          <w:color w:val="222222"/>
          <w:sz w:val="19"/>
        </w:rPr>
        <w:t>Required Inputs &amp; Exhibits:</w:t>
      </w:r>
      <w:r>
        <w:rPr>
          <w:rFonts w:ascii="Calibri" w:hAnsi="Calibri" w:eastAsia="Calibri"/>
          <w:b w:val="0"/>
          <w:i w:val="0"/>
          <w:color w:val="222222"/>
          <w:sz w:val="19"/>
        </w:rPr>
        <w:t xml:space="preserve"> CIB API message exchange sequence diagram, sample monthly return file format.</w:t>
      </w:r>
    </w:p>
    <w:p>
      <w:pPr>
        <w:pStyle w:val="ListBullet"/>
        <w:spacing w:after="40" w:line="276" w:lineRule="auto"/>
      </w:pPr>
      <w:r>
        <w:rPr>
          <w:rFonts w:ascii="Calibri" w:hAnsi="Calibri" w:eastAsia="Calibri"/>
          <w:b/>
          <w:i w:val="0"/>
          <w:color w:val="222222"/>
          <w:sz w:val="19"/>
        </w:rPr>
        <w:t>Maintenance Owner:</w:t>
      </w:r>
      <w:r>
        <w:rPr>
          <w:rFonts w:ascii="Calibri" w:hAnsi="Calibri" w:eastAsia="Calibri"/>
          <w:b w:val="0"/>
          <w:i w:val="0"/>
          <w:color w:val="222222"/>
          <w:sz w:val="19"/>
        </w:rPr>
        <w:t xml:space="preserve"> Senior Integration Specialist &amp; CIB Operations Lead.</w:t>
      </w:r>
    </w:p>
    <w:p>
      <w:pPr>
        <w:keepNext/>
        <w:spacing w:before="160" w:after="40"/>
      </w:pPr>
      <w:r>
        <w:rPr>
          <w:rFonts w:ascii="Calibri" w:hAnsi="Calibri" w:eastAsia="Calibri"/>
          <w:b/>
          <w:i w:val="0"/>
          <w:color w:val="1E2660"/>
          <w:sz w:val="20"/>
        </w:rPr>
        <w:t>DOC-38: AML/CFT &amp; e-KYC Verification Protocol (BFIU Circulars 25, 26 &amp; 31)</w:t>
      </w:r>
    </w:p>
    <w:p>
      <w:pPr>
        <w:pStyle w:val="ListBullet"/>
        <w:spacing w:after="40" w:line="276" w:lineRule="auto"/>
      </w:pPr>
      <w:r>
        <w:rPr>
          <w:rFonts w:ascii="Calibri" w:hAnsi="Calibri" w:eastAsia="Calibri"/>
          <w:b/>
          <w:i w:val="0"/>
          <w:color w:val="222222"/>
          <w:sz w:val="19"/>
        </w:rPr>
        <w:t>Target File Path:</w:t>
      </w:r>
      <w:r>
        <w:rPr>
          <w:rFonts w:ascii="Calibri" w:hAnsi="Calibri" w:eastAsia="Calibri"/>
          <w:b w:val="0"/>
          <w:i w:val="0"/>
          <w:color w:val="222222"/>
          <w:sz w:val="19"/>
        </w:rPr>
        <w:t xml:space="preserve"> </w:t>
      </w:r>
      <w:r>
        <w:rPr>
          <w:rFonts w:ascii="Consolas" w:hAnsi="Consolas" w:eastAsia="Consolas"/>
          <w:b w:val="0"/>
          <w:i w:val="0"/>
          <w:color w:val="8B0000"/>
          <w:sz w:val="18"/>
        </w:rPr>
        <w:t>business_document/06_regulatory_whitepapers/DOC-38_AML_eKYC_BFIU_Compliance_Paper.md</w:t>
      </w:r>
    </w:p>
    <w:p>
      <w:pPr>
        <w:pStyle w:val="ListBullet"/>
        <w:spacing w:after="40" w:line="276" w:lineRule="auto"/>
      </w:pPr>
      <w:r>
        <w:rPr>
          <w:rFonts w:ascii="Calibri" w:hAnsi="Calibri" w:eastAsia="Calibri"/>
          <w:b/>
          <w:i w:val="0"/>
          <w:color w:val="222222"/>
          <w:sz w:val="19"/>
        </w:rPr>
        <w:t>Lifecycle Phase:</w:t>
      </w:r>
      <w:r>
        <w:rPr>
          <w:rFonts w:ascii="Calibri" w:hAnsi="Calibri" w:eastAsia="Calibri"/>
          <w:b w:val="0"/>
          <w:i w:val="0"/>
          <w:color w:val="222222"/>
          <w:sz w:val="19"/>
        </w:rPr>
        <w:t xml:space="preserve"> AML Compliance &amp; Fraud Prevention Due Diligence</w:t>
      </w:r>
    </w:p>
    <w:p>
      <w:pPr>
        <w:pStyle w:val="ListBullet"/>
        <w:spacing w:after="40" w:line="276" w:lineRule="auto"/>
      </w:pPr>
      <w:r>
        <w:rPr>
          <w:rFonts w:ascii="Calibri" w:hAnsi="Calibri" w:eastAsia="Calibri"/>
          <w:b/>
          <w:i w:val="0"/>
          <w:color w:val="222222"/>
          <w:sz w:val="19"/>
        </w:rPr>
        <w:t>Target Audience:</w:t>
      </w:r>
      <w:r>
        <w:rPr>
          <w:rFonts w:ascii="Calibri" w:hAnsi="Calibri" w:eastAsia="Calibri"/>
          <w:b w:val="0"/>
          <w:i w:val="0"/>
          <w:color w:val="222222"/>
          <w:sz w:val="19"/>
        </w:rPr>
        <w:t xml:space="preserve"> Chief Anti-Money Laundering Compliance Officers (CAMLCO), Heads of Compliance, Legal Counsel</w:t>
      </w:r>
    </w:p>
    <w:p>
      <w:pPr>
        <w:pStyle w:val="ListBullet"/>
        <w:spacing w:after="40" w:line="276" w:lineRule="auto"/>
      </w:pPr>
      <w:r>
        <w:rPr>
          <w:rFonts w:ascii="Calibri" w:hAnsi="Calibri" w:eastAsia="Calibri"/>
          <w:b/>
          <w:i w:val="0"/>
          <w:color w:val="222222"/>
          <w:sz w:val="19"/>
        </w:rPr>
        <w:t>Operational Purpose:</w:t>
      </w:r>
      <w:r>
        <w:rPr>
          <w:rFonts w:ascii="Calibri" w:hAnsi="Calibri" w:eastAsia="Calibri"/>
          <w:b w:val="0"/>
          <w:i w:val="0"/>
          <w:color w:val="222222"/>
          <w:sz w:val="19"/>
        </w:rPr>
        <w:t xml:space="preserve"> Authoritative compliance whitepaper explaining how ULMS fulfills the anti-money laundering, counter-terrorism financing, and digital onboarding requirements of the Bangladesh Financial Intelligence Unit (BFIU).</w:t>
      </w:r>
    </w:p>
    <w:p>
      <w:pPr>
        <w:pStyle w:val="ListBullet"/>
        <w:spacing w:after="40" w:line="276" w:lineRule="auto"/>
      </w:pPr>
      <w:r>
        <w:rPr>
          <w:rFonts w:ascii="Calibri" w:hAnsi="Calibri" w:eastAsia="Calibri"/>
          <w:b/>
          <w:i w:val="0"/>
          <w:color w:val="222222"/>
          <w:sz w:val="19"/>
        </w:rPr>
        <w:t>Detailed Table of Contents:</w:t>
      </w:r>
    </w:p>
    <w:p>
      <w:pPr>
        <w:spacing w:after="80" w:line="276" w:lineRule="auto"/>
      </w:pPr>
      <w:r>
        <w:rPr>
          <w:rFonts w:ascii="Calibri" w:hAnsi="Calibri" w:eastAsia="Calibri"/>
          <w:b w:val="0"/>
          <w:i w:val="0"/>
          <w:color w:val="222222"/>
          <w:sz w:val="19"/>
        </w:rPr>
        <w:t>1. The AML/CFT Regulatory Mandate in Bangladesh Banking (Money Laundering Prevention Act 2012, Anti-Terrorism Act 2009)</w:t>
      </w:r>
    </w:p>
    <w:p>
      <w:pPr>
        <w:spacing w:after="80" w:line="276" w:lineRule="auto"/>
      </w:pPr>
      <w:r>
        <w:rPr>
          <w:rFonts w:ascii="Calibri" w:hAnsi="Calibri" w:eastAsia="Calibri"/>
          <w:b w:val="0"/>
          <w:i w:val="0"/>
          <w:color w:val="222222"/>
          <w:sz w:val="19"/>
        </w:rPr>
        <w:t>2. BFIU Guidelines Alignment: Circulars 25, 26, and 31 Mandatory Enforcements</w:t>
      </w:r>
    </w:p>
    <w:p>
      <w:pPr>
        <w:spacing w:after="80" w:line="276" w:lineRule="auto"/>
      </w:pPr>
      <w:r>
        <w:rPr>
          <w:rFonts w:ascii="Calibri" w:hAnsi="Calibri" w:eastAsia="Calibri"/>
          <w:b w:val="0"/>
          <w:i w:val="0"/>
          <w:color w:val="222222"/>
          <w:sz w:val="19"/>
        </w:rPr>
        <w:t>3. The e-KYC Verification Pipeline:</w:t>
      </w:r>
    </w:p>
    <w:p>
      <w:pPr>
        <w:pStyle w:val="ListBullet"/>
        <w:spacing w:after="40" w:line="276" w:lineRule="auto"/>
        <w:ind w:left="680"/>
      </w:pPr>
      <w:r>
        <w:rPr>
          <w:rFonts w:ascii="Calibri" w:hAnsi="Calibri" w:eastAsia="Calibri"/>
          <w:b w:val="0"/>
          <w:i w:val="0"/>
          <w:color w:val="222222"/>
          <w:sz w:val="19"/>
        </w:rPr>
        <w:t>Integration with Election Commission National Identity Wing (NIDW) via Porichoy</w:t>
      </w:r>
    </w:p>
    <w:p>
      <w:pPr>
        <w:pStyle w:val="ListBullet"/>
        <w:spacing w:after="40" w:line="276" w:lineRule="auto"/>
        <w:ind w:left="680"/>
      </w:pPr>
      <w:r>
        <w:rPr>
          <w:rFonts w:ascii="Calibri" w:hAnsi="Calibri" w:eastAsia="Calibri"/>
          <w:b w:val="0"/>
          <w:i w:val="0"/>
          <w:color w:val="222222"/>
          <w:sz w:val="19"/>
        </w:rPr>
        <w:t>AI-Powered Optical Character Recognition (OCR) of Smart NID Cards</w:t>
      </w:r>
    </w:p>
    <w:p>
      <w:pPr>
        <w:pStyle w:val="ListBullet"/>
        <w:spacing w:after="40" w:line="276" w:lineRule="auto"/>
        <w:ind w:left="680"/>
      </w:pPr>
      <w:r>
        <w:rPr>
          <w:rFonts w:ascii="Calibri" w:hAnsi="Calibri" w:eastAsia="Calibri"/>
          <w:b w:val="0"/>
          <w:i w:val="0"/>
          <w:color w:val="222222"/>
          <w:sz w:val="19"/>
        </w:rPr>
        <w:t>Real-Time Facial Biometric Liveness Detection and Photo Matching (&gt;95% Threshold)</w:t>
      </w:r>
    </w:p>
    <w:p>
      <w:pPr>
        <w:spacing w:after="80" w:line="276" w:lineRule="auto"/>
      </w:pPr>
      <w:r>
        <w:rPr>
          <w:rFonts w:ascii="Calibri" w:hAnsi="Calibri" w:eastAsia="Calibri"/>
          <w:b w:val="0"/>
          <w:i w:val="0"/>
          <w:color w:val="222222"/>
          <w:sz w:val="19"/>
        </w:rPr>
        <w:t>4. PEP and Sanctions Screening: Automated Checking Against UN Sanctions Lists and Local BFIU Proscribed Lists</w:t>
      </w:r>
    </w:p>
    <w:p>
      <w:pPr>
        <w:spacing w:after="80" w:line="276" w:lineRule="auto"/>
      </w:pPr>
      <w:r>
        <w:rPr>
          <w:rFonts w:ascii="Calibri" w:hAnsi="Calibri" w:eastAsia="Calibri"/>
          <w:b w:val="0"/>
          <w:i w:val="0"/>
          <w:color w:val="222222"/>
          <w:sz w:val="19"/>
        </w:rPr>
        <w:t>5. Beneficial Ownership Capture: Mandatory Identification and Verification of Ultimate Beneficial Owners ($\ge 20\%$)</w:t>
      </w:r>
    </w:p>
    <w:p>
      <w:pPr>
        <w:spacing w:after="80" w:line="276" w:lineRule="auto"/>
      </w:pPr>
      <w:r>
        <w:rPr>
          <w:rFonts w:ascii="Calibri" w:hAnsi="Calibri" w:eastAsia="Calibri"/>
          <w:b w:val="0"/>
          <w:i w:val="0"/>
          <w:color w:val="222222"/>
          <w:sz w:val="19"/>
        </w:rPr>
        <w:t>6. Suspicious Activity Reporting (STR/SAR): Automated Threshold Alerting (e.g., Transactions Exceeding ৳10 Lakh)</w:t>
      </w:r>
    </w:p>
    <w:p>
      <w:pPr>
        <w:spacing w:after="80" w:line="276" w:lineRule="auto"/>
      </w:pPr>
      <w:r>
        <w:rPr>
          <w:rFonts w:ascii="Calibri" w:hAnsi="Calibri" w:eastAsia="Calibri"/>
          <w:b w:val="0"/>
          <w:i w:val="0"/>
          <w:color w:val="222222"/>
          <w:sz w:val="19"/>
        </w:rPr>
        <w:t>7. Document Retention and Audit Readiness: 5-Year Encrypted Archival Policy</w:t>
      </w:r>
    </w:p>
    <w:p>
      <w:pPr>
        <w:pStyle w:val="ListBullet"/>
        <w:spacing w:after="40" w:line="276" w:lineRule="auto"/>
      </w:pPr>
      <w:r>
        <w:rPr>
          <w:rFonts w:ascii="Calibri" w:hAnsi="Calibri" w:eastAsia="Calibri"/>
          <w:b/>
          <w:i w:val="0"/>
          <w:color w:val="222222"/>
          <w:sz w:val="19"/>
        </w:rPr>
        <w:t>Core Value Proposition:</w:t>
      </w:r>
      <w:r>
        <w:rPr>
          <w:rFonts w:ascii="Calibri" w:hAnsi="Calibri" w:eastAsia="Calibri"/>
          <w:b w:val="0"/>
          <w:i w:val="0"/>
          <w:color w:val="222222"/>
          <w:sz w:val="19"/>
        </w:rPr>
        <w:t xml:space="preserve"> Prove to the bank's CAMLCO that ULMS provides total immunity against regulatory scrutiny, money laundering penalties, and identity fraud.</w:t>
      </w:r>
    </w:p>
    <w:p>
      <w:pPr>
        <w:pStyle w:val="ListBullet"/>
        <w:spacing w:after="40" w:line="276" w:lineRule="auto"/>
      </w:pPr>
      <w:r>
        <w:rPr>
          <w:rFonts w:ascii="Calibri" w:hAnsi="Calibri" w:eastAsia="Calibri"/>
          <w:b/>
          <w:i w:val="0"/>
          <w:color w:val="222222"/>
          <w:sz w:val="19"/>
        </w:rPr>
        <w:t>Required Inputs &amp; Exhibits:</w:t>
      </w:r>
      <w:r>
        <w:rPr>
          <w:rFonts w:ascii="Calibri" w:hAnsi="Calibri" w:eastAsia="Calibri"/>
          <w:b w:val="0"/>
          <w:i w:val="0"/>
          <w:color w:val="222222"/>
          <w:sz w:val="19"/>
        </w:rPr>
        <w:t xml:space="preserve"> e-KYC biometric verification flowchart, STR alert trigger table.</w:t>
      </w:r>
    </w:p>
    <w:p>
      <w:pPr>
        <w:pStyle w:val="ListBullet"/>
        <w:spacing w:after="40" w:line="276" w:lineRule="auto"/>
      </w:pPr>
      <w:r>
        <w:rPr>
          <w:rFonts w:ascii="Calibri" w:hAnsi="Calibri" w:eastAsia="Calibri"/>
          <w:b/>
          <w:i w:val="0"/>
          <w:color w:val="222222"/>
          <w:sz w:val="19"/>
        </w:rPr>
        <w:t>Maintenance Owner:</w:t>
      </w:r>
      <w:r>
        <w:rPr>
          <w:rFonts w:ascii="Calibri" w:hAnsi="Calibri" w:eastAsia="Calibri"/>
          <w:b w:val="0"/>
          <w:i w:val="0"/>
          <w:color w:val="222222"/>
          <w:sz w:val="19"/>
        </w:rPr>
        <w:t xml:space="preserve"> Head of Compliance &amp; AML Systems Architect.</w:t>
      </w:r>
    </w:p>
    <w:p>
      <w:pPr>
        <w:pStyle w:val="Heading3"/>
        <w:keepNext/>
      </w:pPr>
      <w:r>
        <w:t>CATEGORY 7: PROOF OF CONCEPT (PoC), CONTRACTING &amp; ONBOARDING (CAT-07)</w:t>
      </w:r>
    </w:p>
    <w:p>
      <w:pPr>
        <w:keepNext/>
        <w:spacing w:before="160" w:after="40"/>
      </w:pPr>
      <w:r>
        <w:rPr>
          <w:rFonts w:ascii="Calibri" w:hAnsi="Calibri" w:eastAsia="Calibri"/>
          <w:b/>
          <w:i w:val="0"/>
          <w:color w:val="1E2660"/>
          <w:sz w:val="20"/>
        </w:rPr>
        <w:t>DOC-39: Proof of Concept (PoC) Evaluation Charter &amp; Success Criteria Template</w:t>
      </w:r>
    </w:p>
    <w:p>
      <w:pPr>
        <w:pStyle w:val="ListBullet"/>
        <w:spacing w:after="40" w:line="276" w:lineRule="auto"/>
      </w:pPr>
      <w:r>
        <w:rPr>
          <w:rFonts w:ascii="Calibri" w:hAnsi="Calibri" w:eastAsia="Calibri"/>
          <w:b/>
          <w:i w:val="0"/>
          <w:color w:val="222222"/>
          <w:sz w:val="19"/>
        </w:rPr>
        <w:t>Target File Path:</w:t>
      </w:r>
      <w:r>
        <w:rPr>
          <w:rFonts w:ascii="Calibri" w:hAnsi="Calibri" w:eastAsia="Calibri"/>
          <w:b w:val="0"/>
          <w:i w:val="0"/>
          <w:color w:val="222222"/>
          <w:sz w:val="19"/>
        </w:rPr>
        <w:t xml:space="preserve"> </w:t>
      </w:r>
      <w:r>
        <w:rPr>
          <w:rFonts w:ascii="Consolas" w:hAnsi="Consolas" w:eastAsia="Consolas"/>
          <w:b w:val="0"/>
          <w:i w:val="0"/>
          <w:color w:val="8B0000"/>
          <w:sz w:val="18"/>
        </w:rPr>
        <w:t>business_document/07_poc_and_contracting/DOC-39_PoC_Evaluation_Charter.md</w:t>
      </w:r>
    </w:p>
    <w:p>
      <w:pPr>
        <w:pStyle w:val="ListBullet"/>
        <w:spacing w:after="40" w:line="276" w:lineRule="auto"/>
      </w:pPr>
      <w:r>
        <w:rPr>
          <w:rFonts w:ascii="Calibri" w:hAnsi="Calibri" w:eastAsia="Calibri"/>
          <w:b/>
          <w:i w:val="0"/>
          <w:color w:val="222222"/>
          <w:sz w:val="19"/>
        </w:rPr>
        <w:t>Lifecycle Phase:</w:t>
      </w:r>
      <w:r>
        <w:rPr>
          <w:rFonts w:ascii="Calibri" w:hAnsi="Calibri" w:eastAsia="Calibri"/>
          <w:b w:val="0"/>
          <w:i w:val="0"/>
          <w:color w:val="222222"/>
          <w:sz w:val="19"/>
        </w:rPr>
        <w:t xml:space="preserve"> Deal Validation &amp; Late-Stage De-Risking</w:t>
      </w:r>
    </w:p>
    <w:p>
      <w:pPr>
        <w:pStyle w:val="ListBullet"/>
        <w:spacing w:after="40" w:line="276" w:lineRule="auto"/>
      </w:pPr>
      <w:r>
        <w:rPr>
          <w:rFonts w:ascii="Calibri" w:hAnsi="Calibri" w:eastAsia="Calibri"/>
          <w:b/>
          <w:i w:val="0"/>
          <w:color w:val="222222"/>
          <w:sz w:val="19"/>
        </w:rPr>
        <w:t>Target Audience:</w:t>
      </w:r>
      <w:r>
        <w:rPr>
          <w:rFonts w:ascii="Calibri" w:hAnsi="Calibri" w:eastAsia="Calibri"/>
          <w:b w:val="0"/>
          <w:i w:val="0"/>
          <w:color w:val="222222"/>
          <w:sz w:val="19"/>
        </w:rPr>
        <w:t xml:space="preserve"> Bank Evaluation Committee, PMO, Unisoft Pre-Sales Team</w:t>
      </w:r>
    </w:p>
    <w:p>
      <w:pPr>
        <w:pStyle w:val="ListBullet"/>
        <w:spacing w:after="40" w:line="276" w:lineRule="auto"/>
      </w:pPr>
      <w:r>
        <w:rPr>
          <w:rFonts w:ascii="Calibri" w:hAnsi="Calibri" w:eastAsia="Calibri"/>
          <w:b/>
          <w:i w:val="0"/>
          <w:color w:val="222222"/>
          <w:sz w:val="19"/>
        </w:rPr>
        <w:t>Operational Purpose:</w:t>
      </w:r>
      <w:r>
        <w:rPr>
          <w:rFonts w:ascii="Calibri" w:hAnsi="Calibri" w:eastAsia="Calibri"/>
          <w:b w:val="0"/>
          <w:i w:val="0"/>
          <w:color w:val="222222"/>
          <w:sz w:val="19"/>
        </w:rPr>
        <w:t xml:space="preserve"> A legally binding, structured 14-day Proof of Concept (PoC) charter defining scope, test data sets, environment responsibilities, and objective pass/fail criteria to prevent unpaid, never-ending pilot projects.</w:t>
      </w:r>
    </w:p>
    <w:p>
      <w:pPr>
        <w:pStyle w:val="ListBullet"/>
        <w:spacing w:after="40" w:line="276" w:lineRule="auto"/>
      </w:pPr>
      <w:r>
        <w:rPr>
          <w:rFonts w:ascii="Calibri" w:hAnsi="Calibri" w:eastAsia="Calibri"/>
          <w:b/>
          <w:i w:val="0"/>
          <w:color w:val="222222"/>
          <w:sz w:val="19"/>
        </w:rPr>
        <w:t>Detailed Table of Contents:</w:t>
      </w:r>
    </w:p>
    <w:p>
      <w:pPr>
        <w:spacing w:after="80" w:line="276" w:lineRule="auto"/>
      </w:pPr>
      <w:r>
        <w:rPr>
          <w:rFonts w:ascii="Calibri" w:hAnsi="Calibri" w:eastAsia="Calibri"/>
          <w:b w:val="0"/>
          <w:i w:val="0"/>
          <w:color w:val="222222"/>
          <w:sz w:val="19"/>
        </w:rPr>
        <w:t>1. Executive Summary &amp; Purpose of the Proof of Concept</w:t>
      </w:r>
    </w:p>
    <w:p>
      <w:pPr>
        <w:spacing w:after="80" w:line="276" w:lineRule="auto"/>
      </w:pPr>
      <w:r>
        <w:rPr>
          <w:rFonts w:ascii="Calibri" w:hAnsi="Calibri" w:eastAsia="Calibri"/>
          <w:b w:val="0"/>
          <w:i w:val="0"/>
          <w:color w:val="222222"/>
          <w:sz w:val="19"/>
        </w:rPr>
        <w:t>2. Ground Rules: Strict 14-Calendar-Day Duration; Cloud/Sandbox Deployment; Bounded Scope</w:t>
      </w:r>
    </w:p>
    <w:p>
      <w:pPr>
        <w:spacing w:after="80" w:line="276" w:lineRule="auto"/>
      </w:pPr>
      <w:r>
        <w:rPr>
          <w:rFonts w:ascii="Calibri" w:hAnsi="Calibri" w:eastAsia="Calibri"/>
          <w:b w:val="0"/>
          <w:i w:val="0"/>
          <w:color w:val="222222"/>
          <w:sz w:val="19"/>
        </w:rPr>
        <w:t>3. Roles and Responsibilities Matrix (Bank Evaluation Team vs. Unisoft Pre-Sales Engineers)</w:t>
      </w:r>
    </w:p>
    <w:p>
      <w:pPr>
        <w:spacing w:after="80" w:line="276" w:lineRule="auto"/>
      </w:pPr>
      <w:r>
        <w:rPr>
          <w:rFonts w:ascii="Calibri" w:hAnsi="Calibri" w:eastAsia="Calibri"/>
          <w:b w:val="0"/>
          <w:i w:val="0"/>
          <w:color w:val="222222"/>
          <w:sz w:val="19"/>
        </w:rPr>
        <w:t>4. Test Environment Provisioning and Anonymized Sample Data Requirements</w:t>
      </w:r>
    </w:p>
    <w:p>
      <w:pPr>
        <w:spacing w:after="80" w:line="276" w:lineRule="auto"/>
      </w:pPr>
      <w:r>
        <w:rPr>
          <w:rFonts w:ascii="Calibri" w:hAnsi="Calibri" w:eastAsia="Calibri"/>
          <w:b w:val="0"/>
          <w:i w:val="0"/>
          <w:color w:val="222222"/>
          <w:sz w:val="19"/>
        </w:rPr>
        <w:t>5. The 10 Mandatory Evaluation Scenarios (Retail Onboarding, e-KYC, CIB Inquiry, Scorecard Calculation, BOCC Approval, Amortization, BRPD Classification)</w:t>
      </w:r>
    </w:p>
    <w:p>
      <w:pPr>
        <w:spacing w:after="80" w:line="276" w:lineRule="auto"/>
      </w:pPr>
      <w:r>
        <w:rPr>
          <w:rFonts w:ascii="Calibri" w:hAnsi="Calibri" w:eastAsia="Calibri"/>
          <w:b w:val="0"/>
          <w:i w:val="0"/>
          <w:color w:val="222222"/>
          <w:sz w:val="19"/>
        </w:rPr>
        <w:t>6. Objective Pass/Fail Acceptance Criteria (Performance, Usability, Regulatory Correctness)</w:t>
      </w:r>
    </w:p>
    <w:p>
      <w:pPr>
        <w:spacing w:after="80" w:line="276" w:lineRule="auto"/>
      </w:pPr>
      <w:r>
        <w:rPr>
          <w:rFonts w:ascii="Calibri" w:hAnsi="Calibri" w:eastAsia="Calibri"/>
          <w:b w:val="0"/>
          <w:i w:val="0"/>
          <w:color w:val="222222"/>
          <w:sz w:val="19"/>
        </w:rPr>
        <w:t>7. Commercial Conversion Clause: Formal Agreement that Satisfying Criteria Triggers Immediate Contract Finalization</w:t>
      </w:r>
    </w:p>
    <w:p>
      <w:pPr>
        <w:spacing w:after="80" w:line="276" w:lineRule="auto"/>
      </w:pPr>
      <w:r>
        <w:rPr>
          <w:rFonts w:ascii="Calibri" w:hAnsi="Calibri" w:eastAsia="Calibri"/>
          <w:b w:val="0"/>
          <w:i w:val="0"/>
          <w:color w:val="222222"/>
          <w:sz w:val="19"/>
        </w:rPr>
        <w:t>8. Formal Sign-Off Certificate Template</w:t>
      </w:r>
    </w:p>
    <w:p>
      <w:pPr>
        <w:pStyle w:val="ListBullet"/>
        <w:spacing w:after="40" w:line="276" w:lineRule="auto"/>
      </w:pPr>
      <w:r>
        <w:rPr>
          <w:rFonts w:ascii="Calibri" w:hAnsi="Calibri" w:eastAsia="Calibri"/>
          <w:b/>
          <w:i w:val="0"/>
          <w:color w:val="222222"/>
          <w:sz w:val="19"/>
        </w:rPr>
        <w:t>Core Value Proposition:</w:t>
      </w:r>
      <w:r>
        <w:rPr>
          <w:rFonts w:ascii="Calibri" w:hAnsi="Calibri" w:eastAsia="Calibri"/>
          <w:b w:val="0"/>
          <w:i w:val="0"/>
          <w:color w:val="222222"/>
          <w:sz w:val="19"/>
        </w:rPr>
        <w:t xml:space="preserve"> Protect Unisoft from protracted, scope-creeping pilot projects while providing the bank with a risk-free, transparent validation experience.</w:t>
      </w:r>
    </w:p>
    <w:p>
      <w:pPr>
        <w:pStyle w:val="ListBullet"/>
        <w:spacing w:after="40" w:line="276" w:lineRule="auto"/>
      </w:pPr>
      <w:r>
        <w:rPr>
          <w:rFonts w:ascii="Calibri" w:hAnsi="Calibri" w:eastAsia="Calibri"/>
          <w:b/>
          <w:i w:val="0"/>
          <w:color w:val="222222"/>
          <w:sz w:val="19"/>
        </w:rPr>
        <w:t>Required Inputs &amp; Exhibits:</w:t>
      </w:r>
      <w:r>
        <w:rPr>
          <w:rFonts w:ascii="Calibri" w:hAnsi="Calibri" w:eastAsia="Calibri"/>
          <w:b w:val="0"/>
          <w:i w:val="0"/>
          <w:color w:val="222222"/>
          <w:sz w:val="19"/>
        </w:rPr>
        <w:t xml:space="preserve"> Evaluation scenario scorecard table, sign-off certificate form.</w:t>
      </w:r>
    </w:p>
    <w:p>
      <w:pPr>
        <w:pStyle w:val="ListBullet"/>
        <w:spacing w:after="40" w:line="276" w:lineRule="auto"/>
      </w:pPr>
      <w:r>
        <w:rPr>
          <w:rFonts w:ascii="Calibri" w:hAnsi="Calibri" w:eastAsia="Calibri"/>
          <w:b/>
          <w:i w:val="0"/>
          <w:color w:val="222222"/>
          <w:sz w:val="19"/>
        </w:rPr>
        <w:t>Maintenance Owner:</w:t>
      </w:r>
      <w:r>
        <w:rPr>
          <w:rFonts w:ascii="Calibri" w:hAnsi="Calibri" w:eastAsia="Calibri"/>
          <w:b w:val="0"/>
          <w:i w:val="0"/>
          <w:color w:val="222222"/>
          <w:sz w:val="19"/>
        </w:rPr>
        <w:t xml:space="preserve"> Pre-Sales Director &amp; Senior Project Manager.</w:t>
      </w:r>
    </w:p>
    <w:p>
      <w:pPr>
        <w:keepNext/>
        <w:spacing w:before="160" w:after="40"/>
      </w:pPr>
      <w:r>
        <w:rPr>
          <w:rFonts w:ascii="Calibri" w:hAnsi="Calibri" w:eastAsia="Calibri"/>
          <w:b/>
          <w:i w:val="0"/>
          <w:color w:val="1E2660"/>
          <w:sz w:val="20"/>
        </w:rPr>
        <w:t>DOC-40: Master Software License Agreement (MSLA) Template</w:t>
      </w:r>
    </w:p>
    <w:p>
      <w:pPr>
        <w:pStyle w:val="ListBullet"/>
        <w:spacing w:after="40" w:line="276" w:lineRule="auto"/>
      </w:pPr>
      <w:r>
        <w:rPr>
          <w:rFonts w:ascii="Calibri" w:hAnsi="Calibri" w:eastAsia="Calibri"/>
          <w:b/>
          <w:i w:val="0"/>
          <w:color w:val="222222"/>
          <w:sz w:val="19"/>
        </w:rPr>
        <w:t>Target File Path:</w:t>
      </w:r>
      <w:r>
        <w:rPr>
          <w:rFonts w:ascii="Calibri" w:hAnsi="Calibri" w:eastAsia="Calibri"/>
          <w:b w:val="0"/>
          <w:i w:val="0"/>
          <w:color w:val="222222"/>
          <w:sz w:val="19"/>
        </w:rPr>
        <w:t xml:space="preserve"> </w:t>
      </w:r>
      <w:r>
        <w:rPr>
          <w:rFonts w:ascii="Consolas" w:hAnsi="Consolas" w:eastAsia="Consolas"/>
          <w:b w:val="0"/>
          <w:i w:val="0"/>
          <w:color w:val="8B0000"/>
          <w:sz w:val="18"/>
        </w:rPr>
        <w:t>business_document/07_poc_and_contracting/DOC-40_Master_Software_License_Agrmt.md</w:t>
      </w:r>
    </w:p>
    <w:p>
      <w:pPr>
        <w:pStyle w:val="ListBullet"/>
        <w:spacing w:after="40" w:line="276" w:lineRule="auto"/>
      </w:pPr>
      <w:r>
        <w:rPr>
          <w:rFonts w:ascii="Calibri" w:hAnsi="Calibri" w:eastAsia="Calibri"/>
          <w:b/>
          <w:i w:val="0"/>
          <w:color w:val="222222"/>
          <w:sz w:val="19"/>
        </w:rPr>
        <w:t>Lifecycle Phase:</w:t>
      </w:r>
      <w:r>
        <w:rPr>
          <w:rFonts w:ascii="Calibri" w:hAnsi="Calibri" w:eastAsia="Calibri"/>
          <w:b w:val="0"/>
          <w:i w:val="0"/>
          <w:color w:val="222222"/>
          <w:sz w:val="19"/>
        </w:rPr>
        <w:t xml:space="preserve"> Legal Contracting &amp; Deal Closing</w:t>
      </w:r>
    </w:p>
    <w:p>
      <w:pPr>
        <w:pStyle w:val="ListBullet"/>
        <w:spacing w:after="40" w:line="276" w:lineRule="auto"/>
      </w:pPr>
      <w:r>
        <w:rPr>
          <w:rFonts w:ascii="Calibri" w:hAnsi="Calibri" w:eastAsia="Calibri"/>
          <w:b/>
          <w:i w:val="0"/>
          <w:color w:val="222222"/>
          <w:sz w:val="19"/>
        </w:rPr>
        <w:t>Target Audience:</w:t>
      </w:r>
      <w:r>
        <w:rPr>
          <w:rFonts w:ascii="Calibri" w:hAnsi="Calibri" w:eastAsia="Calibri"/>
          <w:b w:val="0"/>
          <w:i w:val="0"/>
          <w:color w:val="222222"/>
          <w:sz w:val="19"/>
        </w:rPr>
        <w:t xml:space="preserve"> Bank Legal Counsel, Chief Legal Officer, Unisoft Corporate Counsel</w:t>
      </w:r>
    </w:p>
    <w:p>
      <w:pPr>
        <w:pStyle w:val="ListBullet"/>
        <w:spacing w:after="40" w:line="276" w:lineRule="auto"/>
      </w:pPr>
      <w:r>
        <w:rPr>
          <w:rFonts w:ascii="Calibri" w:hAnsi="Calibri" w:eastAsia="Calibri"/>
          <w:b/>
          <w:i w:val="0"/>
          <w:color w:val="222222"/>
          <w:sz w:val="19"/>
        </w:rPr>
        <w:t>Operational Purpose:</w:t>
      </w:r>
      <w:r>
        <w:rPr>
          <w:rFonts w:ascii="Calibri" w:hAnsi="Calibri" w:eastAsia="Calibri"/>
          <w:b w:val="0"/>
          <w:i w:val="0"/>
          <w:color w:val="222222"/>
          <w:sz w:val="19"/>
        </w:rPr>
        <w:t xml:space="preserve"> An enterprise-grade, institutional Master Software License Agreement (MSLA) establishing clear software intellectual property rights, perpetual/term licensing rights, warranty protections, liability caps, and confidentiality covenants.</w:t>
      </w:r>
    </w:p>
    <w:p>
      <w:pPr>
        <w:pStyle w:val="ListBullet"/>
        <w:spacing w:after="40" w:line="276" w:lineRule="auto"/>
      </w:pPr>
      <w:r>
        <w:rPr>
          <w:rFonts w:ascii="Calibri" w:hAnsi="Calibri" w:eastAsia="Calibri"/>
          <w:b/>
          <w:i w:val="0"/>
          <w:color w:val="222222"/>
          <w:sz w:val="19"/>
        </w:rPr>
        <w:t>Detailed Table of Contents:</w:t>
      </w:r>
    </w:p>
    <w:p>
      <w:pPr>
        <w:spacing w:after="80" w:line="276" w:lineRule="auto"/>
      </w:pPr>
      <w:r>
        <w:rPr>
          <w:rFonts w:ascii="Calibri" w:hAnsi="Calibri" w:eastAsia="Calibri"/>
          <w:b w:val="0"/>
          <w:i w:val="0"/>
          <w:color w:val="222222"/>
          <w:sz w:val="19"/>
        </w:rPr>
        <w:t>1. Definitions and Interpretation of Commercial Terms</w:t>
      </w:r>
    </w:p>
    <w:p>
      <w:pPr>
        <w:spacing w:after="80" w:line="276" w:lineRule="auto"/>
      </w:pPr>
      <w:r>
        <w:rPr>
          <w:rFonts w:ascii="Calibri" w:hAnsi="Calibri" w:eastAsia="Calibri"/>
          <w:b w:val="0"/>
          <w:i w:val="0"/>
          <w:color w:val="222222"/>
          <w:sz w:val="19"/>
        </w:rPr>
        <w:t>2. Scope of Grant: Non-Exclusive, Perpetual / Term License Rights for Banking Operations</w:t>
      </w:r>
    </w:p>
    <w:p>
      <w:pPr>
        <w:spacing w:after="80" w:line="276" w:lineRule="auto"/>
      </w:pPr>
      <w:r>
        <w:rPr>
          <w:rFonts w:ascii="Calibri" w:hAnsi="Calibri" w:eastAsia="Calibri"/>
          <w:b w:val="0"/>
          <w:i w:val="0"/>
          <w:color w:val="222222"/>
          <w:sz w:val="19"/>
        </w:rPr>
        <w:t>3. Intellectual Property Rights (IPR): Unisoft Retains Complete Ownership of Core Platform Code</w:t>
      </w:r>
    </w:p>
    <w:p>
      <w:pPr>
        <w:spacing w:after="80" w:line="276" w:lineRule="auto"/>
      </w:pPr>
      <w:r>
        <w:rPr>
          <w:rFonts w:ascii="Calibri" w:hAnsi="Calibri" w:eastAsia="Calibri"/>
          <w:b w:val="0"/>
          <w:i w:val="0"/>
          <w:color w:val="222222"/>
          <w:sz w:val="19"/>
        </w:rPr>
        <w:t>4. Delivery, Installation &amp; Formal Acceptance Procedures</w:t>
      </w:r>
    </w:p>
    <w:p>
      <w:pPr>
        <w:spacing w:after="80" w:line="276" w:lineRule="auto"/>
      </w:pPr>
      <w:r>
        <w:rPr>
          <w:rFonts w:ascii="Calibri" w:hAnsi="Calibri" w:eastAsia="Calibri"/>
          <w:b w:val="0"/>
          <w:i w:val="0"/>
          <w:color w:val="222222"/>
          <w:sz w:val="19"/>
        </w:rPr>
        <w:t>5. Warranties &amp; Defect Rectification Guarantees (12-Month Comprehensive Warranty)</w:t>
      </w:r>
    </w:p>
    <w:p>
      <w:pPr>
        <w:spacing w:after="80" w:line="276" w:lineRule="auto"/>
      </w:pPr>
      <w:r>
        <w:rPr>
          <w:rFonts w:ascii="Calibri" w:hAnsi="Calibri" w:eastAsia="Calibri"/>
          <w:b w:val="0"/>
          <w:i w:val="0"/>
          <w:color w:val="222222"/>
          <w:sz w:val="19"/>
        </w:rPr>
        <w:t>6. Limitation of Liability and Mutual Indemnification Covenants</w:t>
      </w:r>
    </w:p>
    <w:p>
      <w:pPr>
        <w:spacing w:after="80" w:line="276" w:lineRule="auto"/>
      </w:pPr>
      <w:r>
        <w:rPr>
          <w:rFonts w:ascii="Calibri" w:hAnsi="Calibri" w:eastAsia="Calibri"/>
          <w:b w:val="0"/>
          <w:i w:val="0"/>
          <w:color w:val="222222"/>
          <w:sz w:val="19"/>
        </w:rPr>
        <w:t>7. Confidentiality, Non-Disclosure &amp; Bank Banking Secrecy Act Compliance</w:t>
      </w:r>
    </w:p>
    <w:p>
      <w:pPr>
        <w:spacing w:after="80" w:line="276" w:lineRule="auto"/>
      </w:pPr>
      <w:r>
        <w:rPr>
          <w:rFonts w:ascii="Calibri" w:hAnsi="Calibri" w:eastAsia="Calibri"/>
          <w:b w:val="0"/>
          <w:i w:val="0"/>
          <w:color w:val="222222"/>
          <w:sz w:val="19"/>
        </w:rPr>
        <w:t>8. Source Code Escrow Agreement Terms (National Commercial Escrow Agency in Dhaka)</w:t>
      </w:r>
    </w:p>
    <w:p>
      <w:pPr>
        <w:spacing w:after="80" w:line="276" w:lineRule="auto"/>
      </w:pPr>
      <w:r>
        <w:rPr>
          <w:rFonts w:ascii="Calibri" w:hAnsi="Calibri" w:eastAsia="Calibri"/>
          <w:b w:val="0"/>
          <w:i w:val="0"/>
          <w:color w:val="222222"/>
          <w:sz w:val="19"/>
        </w:rPr>
        <w:t>9. Governing Law, Jurisdiction &amp; Dispute Resolution (Dhaka Chamber of Commerce Arbitration)</w:t>
      </w:r>
    </w:p>
    <w:p>
      <w:pPr>
        <w:spacing w:after="80" w:line="276" w:lineRule="auto"/>
      </w:pPr>
      <w:r>
        <w:rPr>
          <w:rFonts w:ascii="Calibri" w:hAnsi="Calibri" w:eastAsia="Calibri"/>
          <w:b w:val="0"/>
          <w:i w:val="0"/>
          <w:color w:val="222222"/>
          <w:sz w:val="19"/>
        </w:rPr>
        <w:t>10. Execution Signature Blocks and Notarization Schedules</w:t>
      </w:r>
    </w:p>
    <w:p>
      <w:pPr>
        <w:pStyle w:val="ListBullet"/>
        <w:spacing w:after="40" w:line="276" w:lineRule="auto"/>
      </w:pPr>
      <w:r>
        <w:rPr>
          <w:rFonts w:ascii="Calibri" w:hAnsi="Calibri" w:eastAsia="Calibri"/>
          <w:b/>
          <w:i w:val="0"/>
          <w:color w:val="222222"/>
          <w:sz w:val="19"/>
        </w:rPr>
        <w:t>Core Value Proposition:</w:t>
      </w:r>
      <w:r>
        <w:rPr>
          <w:rFonts w:ascii="Calibri" w:hAnsi="Calibri" w:eastAsia="Calibri"/>
          <w:b w:val="0"/>
          <w:i w:val="0"/>
          <w:color w:val="222222"/>
          <w:sz w:val="19"/>
        </w:rPr>
        <w:t xml:space="preserve"> Accelerate contract negotiations by providing a fair, balanced, bank-tested legal agreement that protects Unisoft’s IP while satisfying bank legal departments.</w:t>
      </w:r>
    </w:p>
    <w:p>
      <w:pPr>
        <w:pStyle w:val="ListBullet"/>
        <w:spacing w:after="40" w:line="276" w:lineRule="auto"/>
      </w:pPr>
      <w:r>
        <w:rPr>
          <w:rFonts w:ascii="Calibri" w:hAnsi="Calibri" w:eastAsia="Calibri"/>
          <w:b/>
          <w:i w:val="0"/>
          <w:color w:val="222222"/>
          <w:sz w:val="19"/>
        </w:rPr>
        <w:t>Required Inputs &amp; Exhibits:</w:t>
      </w:r>
      <w:r>
        <w:rPr>
          <w:rFonts w:ascii="Calibri" w:hAnsi="Calibri" w:eastAsia="Calibri"/>
          <w:b w:val="0"/>
          <w:i w:val="0"/>
          <w:color w:val="222222"/>
          <w:sz w:val="19"/>
        </w:rPr>
        <w:t xml:space="preserve"> Escrow terms schedule, warranty certificate annex.</w:t>
      </w:r>
    </w:p>
    <w:p>
      <w:pPr>
        <w:pStyle w:val="ListBullet"/>
        <w:spacing w:after="40" w:line="276" w:lineRule="auto"/>
      </w:pPr>
      <w:r>
        <w:rPr>
          <w:rFonts w:ascii="Calibri" w:hAnsi="Calibri" w:eastAsia="Calibri"/>
          <w:b/>
          <w:i w:val="0"/>
          <w:color w:val="222222"/>
          <w:sz w:val="19"/>
        </w:rPr>
        <w:t>Maintenance Owner:</w:t>
      </w:r>
      <w:r>
        <w:rPr>
          <w:rFonts w:ascii="Calibri" w:hAnsi="Calibri" w:eastAsia="Calibri"/>
          <w:b w:val="0"/>
          <w:i w:val="0"/>
          <w:color w:val="222222"/>
          <w:sz w:val="19"/>
        </w:rPr>
        <w:t xml:space="preserve"> Chief Legal Counsel &amp; Managing Director.</w:t>
      </w:r>
    </w:p>
    <w:p>
      <w:pPr>
        <w:keepNext/>
        <w:spacing w:before="160" w:after="40"/>
      </w:pPr>
      <w:r>
        <w:rPr>
          <w:rFonts w:ascii="Calibri" w:hAnsi="Calibri" w:eastAsia="Calibri"/>
          <w:b/>
          <w:i w:val="0"/>
          <w:color w:val="1E2660"/>
          <w:sz w:val="20"/>
        </w:rPr>
        <w:t>DOC-41: Service Level Agreement (SLA) &amp; Operational Regulations Contract</w:t>
      </w:r>
    </w:p>
    <w:p>
      <w:pPr>
        <w:pStyle w:val="ListBullet"/>
        <w:spacing w:after="40" w:line="276" w:lineRule="auto"/>
      </w:pPr>
      <w:r>
        <w:rPr>
          <w:rFonts w:ascii="Calibri" w:hAnsi="Calibri" w:eastAsia="Calibri"/>
          <w:b/>
          <w:i w:val="0"/>
          <w:color w:val="222222"/>
          <w:sz w:val="19"/>
        </w:rPr>
        <w:t>Target File Path:</w:t>
      </w:r>
      <w:r>
        <w:rPr>
          <w:rFonts w:ascii="Calibri" w:hAnsi="Calibri" w:eastAsia="Calibri"/>
          <w:b w:val="0"/>
          <w:i w:val="0"/>
          <w:color w:val="222222"/>
          <w:sz w:val="19"/>
        </w:rPr>
        <w:t xml:space="preserve"> </w:t>
      </w:r>
      <w:r>
        <w:rPr>
          <w:rFonts w:ascii="Consolas" w:hAnsi="Consolas" w:eastAsia="Consolas"/>
          <w:b w:val="0"/>
          <w:i w:val="0"/>
          <w:color w:val="8B0000"/>
          <w:sz w:val="18"/>
        </w:rPr>
        <w:t>business_document/07_poc_and_contracting/DOC-41_Service_Level_Agreement_Contract.md</w:t>
      </w:r>
    </w:p>
    <w:p>
      <w:pPr>
        <w:pStyle w:val="ListBullet"/>
        <w:spacing w:after="40" w:line="276" w:lineRule="auto"/>
      </w:pPr>
      <w:r>
        <w:rPr>
          <w:rFonts w:ascii="Calibri" w:hAnsi="Calibri" w:eastAsia="Calibri"/>
          <w:b/>
          <w:i w:val="0"/>
          <w:color w:val="222222"/>
          <w:sz w:val="19"/>
        </w:rPr>
        <w:t>Lifecycle Phase:</w:t>
      </w:r>
      <w:r>
        <w:rPr>
          <w:rFonts w:ascii="Calibri" w:hAnsi="Calibri" w:eastAsia="Calibri"/>
          <w:b w:val="0"/>
          <w:i w:val="0"/>
          <w:color w:val="222222"/>
          <w:sz w:val="19"/>
        </w:rPr>
        <w:t xml:space="preserve"> Legal Contracting &amp; Operationalization</w:t>
      </w:r>
    </w:p>
    <w:p>
      <w:pPr>
        <w:pStyle w:val="ListBullet"/>
        <w:spacing w:after="40" w:line="276" w:lineRule="auto"/>
      </w:pPr>
      <w:r>
        <w:rPr>
          <w:rFonts w:ascii="Calibri" w:hAnsi="Calibri" w:eastAsia="Calibri"/>
          <w:b/>
          <w:i w:val="0"/>
          <w:color w:val="222222"/>
          <w:sz w:val="19"/>
        </w:rPr>
        <w:t>Target Audience:</w:t>
      </w:r>
      <w:r>
        <w:rPr>
          <w:rFonts w:ascii="Calibri" w:hAnsi="Calibri" w:eastAsia="Calibri"/>
          <w:b w:val="0"/>
          <w:i w:val="0"/>
          <w:color w:val="222222"/>
          <w:sz w:val="19"/>
        </w:rPr>
        <w:t xml:space="preserve"> Bank Chief Operating Officer, Head of IT, Unisoft Customer Support Director</w:t>
      </w:r>
    </w:p>
    <w:p>
      <w:pPr>
        <w:pStyle w:val="ListBullet"/>
        <w:spacing w:after="40" w:line="276" w:lineRule="auto"/>
      </w:pPr>
      <w:r>
        <w:rPr>
          <w:rFonts w:ascii="Calibri" w:hAnsi="Calibri" w:eastAsia="Calibri"/>
          <w:b/>
          <w:i w:val="0"/>
          <w:color w:val="222222"/>
          <w:sz w:val="19"/>
        </w:rPr>
        <w:t>Operational Purpose:</w:t>
      </w:r>
      <w:r>
        <w:rPr>
          <w:rFonts w:ascii="Calibri" w:hAnsi="Calibri" w:eastAsia="Calibri"/>
          <w:b w:val="0"/>
          <w:i w:val="0"/>
          <w:color w:val="222222"/>
          <w:sz w:val="19"/>
        </w:rPr>
        <w:t xml:space="preserve"> Legally enforceable institutional SLA contract establishing uptime guarantees, defect severity categories, disaster recovery commitments, and penalty service credits.</w:t>
      </w:r>
    </w:p>
    <w:p>
      <w:pPr>
        <w:pStyle w:val="ListBullet"/>
        <w:spacing w:after="40" w:line="276" w:lineRule="auto"/>
      </w:pPr>
      <w:r>
        <w:rPr>
          <w:rFonts w:ascii="Calibri" w:hAnsi="Calibri" w:eastAsia="Calibri"/>
          <w:b/>
          <w:i w:val="0"/>
          <w:color w:val="222222"/>
          <w:sz w:val="19"/>
        </w:rPr>
        <w:t>Detailed Table of Contents:</w:t>
      </w:r>
    </w:p>
    <w:p>
      <w:pPr>
        <w:spacing w:after="80" w:line="276" w:lineRule="auto"/>
      </w:pPr>
      <w:r>
        <w:rPr>
          <w:rFonts w:ascii="Calibri" w:hAnsi="Calibri" w:eastAsia="Calibri"/>
          <w:b w:val="0"/>
          <w:i w:val="0"/>
          <w:color w:val="222222"/>
          <w:sz w:val="19"/>
        </w:rPr>
        <w:t>1. Purpose and Term of the Service Level Agreement</w:t>
      </w:r>
    </w:p>
    <w:p>
      <w:pPr>
        <w:spacing w:after="80" w:line="276" w:lineRule="auto"/>
      </w:pPr>
      <w:r>
        <w:rPr>
          <w:rFonts w:ascii="Calibri" w:hAnsi="Calibri" w:eastAsia="Calibri"/>
          <w:b w:val="0"/>
          <w:i w:val="0"/>
          <w:color w:val="222222"/>
          <w:sz w:val="19"/>
        </w:rPr>
        <w:t>2. Service Hours and Coverage Windows (24x7x365 Core Banking Operations Support)</w:t>
      </w:r>
    </w:p>
    <w:p>
      <w:pPr>
        <w:spacing w:after="80" w:line="276" w:lineRule="auto"/>
      </w:pPr>
      <w:r>
        <w:rPr>
          <w:rFonts w:ascii="Calibri" w:hAnsi="Calibri" w:eastAsia="Calibri"/>
          <w:b w:val="0"/>
          <w:i w:val="0"/>
          <w:color w:val="222222"/>
          <w:sz w:val="19"/>
        </w:rPr>
        <w:t>3. System Availability Commitment (99.9% Monthly Uptime) and Measurement Formulas</w:t>
      </w:r>
    </w:p>
    <w:p>
      <w:pPr>
        <w:spacing w:after="80" w:line="276" w:lineRule="auto"/>
      </w:pPr>
      <w:r>
        <w:rPr>
          <w:rFonts w:ascii="Calibri" w:hAnsi="Calibri" w:eastAsia="Calibri"/>
          <w:b w:val="0"/>
          <w:i w:val="0"/>
          <w:color w:val="222222"/>
          <w:sz w:val="19"/>
        </w:rPr>
        <w:t>4. Incident Classification, Response, and Resolution Time Service Level Metrics:</w:t>
      </w:r>
    </w:p>
    <w:p>
      <w:pPr>
        <w:pStyle w:val="ListBullet"/>
        <w:spacing w:after="40" w:line="276" w:lineRule="auto"/>
        <w:ind w:left="680"/>
      </w:pPr>
      <w:r>
        <w:rPr>
          <w:rFonts w:ascii="Calibri" w:hAnsi="Calibri" w:eastAsia="Calibri"/>
          <w:b w:val="0"/>
          <w:i w:val="0"/>
          <w:color w:val="222222"/>
          <w:sz w:val="19"/>
        </w:rPr>
        <w:t>Priority 1 (System Down): 15-Min Response / 2-Hour Restoration</w:t>
      </w:r>
    </w:p>
    <w:p>
      <w:pPr>
        <w:pStyle w:val="ListBullet"/>
        <w:spacing w:after="40" w:line="276" w:lineRule="auto"/>
        <w:ind w:left="680"/>
      </w:pPr>
      <w:r>
        <w:rPr>
          <w:rFonts w:ascii="Calibri" w:hAnsi="Calibri" w:eastAsia="Calibri"/>
          <w:b w:val="0"/>
          <w:i w:val="0"/>
          <w:color w:val="222222"/>
          <w:sz w:val="19"/>
        </w:rPr>
        <w:t>Priority 2 (Severe Impairment): 1-Hour Response / 6-Hour Resolution</w:t>
      </w:r>
    </w:p>
    <w:p>
      <w:pPr>
        <w:pStyle w:val="ListBullet"/>
        <w:spacing w:after="40" w:line="276" w:lineRule="auto"/>
        <w:ind w:left="680"/>
      </w:pPr>
      <w:r>
        <w:rPr>
          <w:rFonts w:ascii="Calibri" w:hAnsi="Calibri" w:eastAsia="Calibri"/>
          <w:b w:val="0"/>
          <w:i w:val="0"/>
          <w:color w:val="222222"/>
          <w:sz w:val="19"/>
        </w:rPr>
        <w:t>Priority 3 (Moderate Defect): 4-Hour Response / 24-Hour Resolution</w:t>
      </w:r>
    </w:p>
    <w:p>
      <w:pPr>
        <w:pStyle w:val="ListBullet"/>
        <w:spacing w:after="40" w:line="276" w:lineRule="auto"/>
        <w:ind w:left="680"/>
      </w:pPr>
      <w:r>
        <w:rPr>
          <w:rFonts w:ascii="Calibri" w:hAnsi="Calibri" w:eastAsia="Calibri"/>
          <w:b w:val="0"/>
          <w:i w:val="0"/>
          <w:color w:val="222222"/>
          <w:sz w:val="19"/>
        </w:rPr>
        <w:t>Priority 4 (Inquiry / Request): Next Business Day</w:t>
      </w:r>
    </w:p>
    <w:p>
      <w:pPr>
        <w:spacing w:after="80" w:line="276" w:lineRule="auto"/>
      </w:pPr>
      <w:r>
        <w:rPr>
          <w:rFonts w:ascii="Calibri" w:hAnsi="Calibri" w:eastAsia="Calibri"/>
          <w:b w:val="0"/>
          <w:i w:val="0"/>
          <w:color w:val="222222"/>
          <w:sz w:val="19"/>
        </w:rPr>
        <w:t>5. Penalty Clauses and Financial Service Credits: Tiered Rebates for Unmet Uptime</w:t>
      </w:r>
    </w:p>
    <w:p>
      <w:pPr>
        <w:spacing w:after="80" w:line="276" w:lineRule="auto"/>
      </w:pPr>
      <w:r>
        <w:rPr>
          <w:rFonts w:ascii="Calibri" w:hAnsi="Calibri" w:eastAsia="Calibri"/>
          <w:b w:val="0"/>
          <w:i w:val="0"/>
          <w:color w:val="222222"/>
          <w:sz w:val="19"/>
        </w:rPr>
        <w:t>6. Bank Operational Responsibilities: Data Center Facilities, Certified Hardware, Timely Access</w:t>
      </w:r>
    </w:p>
    <w:p>
      <w:pPr>
        <w:spacing w:after="80" w:line="276" w:lineRule="auto"/>
      </w:pPr>
      <w:r>
        <w:rPr>
          <w:rFonts w:ascii="Calibri" w:hAnsi="Calibri" w:eastAsia="Calibri"/>
          <w:b w:val="0"/>
          <w:i w:val="0"/>
          <w:color w:val="222222"/>
          <w:sz w:val="19"/>
        </w:rPr>
        <w:t>7. Continuous Performance Review, Quarterly Audits, and Contract Escalation Protocol</w:t>
      </w:r>
    </w:p>
    <w:p>
      <w:pPr>
        <w:pStyle w:val="ListBullet"/>
        <w:spacing w:after="40" w:line="276" w:lineRule="auto"/>
      </w:pPr>
      <w:r>
        <w:rPr>
          <w:rFonts w:ascii="Calibri" w:hAnsi="Calibri" w:eastAsia="Calibri"/>
          <w:b/>
          <w:i w:val="0"/>
          <w:color w:val="222222"/>
          <w:sz w:val="19"/>
        </w:rPr>
        <w:t>Core Value Proposition:</w:t>
      </w:r>
      <w:r>
        <w:rPr>
          <w:rFonts w:ascii="Calibri" w:hAnsi="Calibri" w:eastAsia="Calibri"/>
          <w:b w:val="0"/>
          <w:i w:val="0"/>
          <w:color w:val="222222"/>
          <w:sz w:val="19"/>
        </w:rPr>
        <w:t xml:space="preserve"> Provide the bank with legally binding operational peace of mind backed by transparent financial accountability.</w:t>
      </w:r>
    </w:p>
    <w:p>
      <w:pPr>
        <w:pStyle w:val="ListBullet"/>
        <w:spacing w:after="40" w:line="276" w:lineRule="auto"/>
      </w:pPr>
      <w:r>
        <w:rPr>
          <w:rFonts w:ascii="Calibri" w:hAnsi="Calibri" w:eastAsia="Calibri"/>
          <w:b/>
          <w:i w:val="0"/>
          <w:color w:val="222222"/>
          <w:sz w:val="19"/>
        </w:rPr>
        <w:t>Required Inputs &amp; Exhibits:</w:t>
      </w:r>
      <w:r>
        <w:rPr>
          <w:rFonts w:ascii="Calibri" w:hAnsi="Calibri" w:eastAsia="Calibri"/>
          <w:b w:val="0"/>
          <w:i w:val="0"/>
          <w:color w:val="222222"/>
          <w:sz w:val="19"/>
        </w:rPr>
        <w:t xml:space="preserve"> Penalty rebate calculation schedule, support escalation matrix.</w:t>
      </w:r>
    </w:p>
    <w:p>
      <w:pPr>
        <w:pStyle w:val="ListBullet"/>
        <w:spacing w:after="40" w:line="276" w:lineRule="auto"/>
      </w:pPr>
      <w:r>
        <w:rPr>
          <w:rFonts w:ascii="Calibri" w:hAnsi="Calibri" w:eastAsia="Calibri"/>
          <w:b/>
          <w:i w:val="0"/>
          <w:color w:val="222222"/>
          <w:sz w:val="19"/>
        </w:rPr>
        <w:t>Maintenance Owner:</w:t>
      </w:r>
      <w:r>
        <w:rPr>
          <w:rFonts w:ascii="Calibri" w:hAnsi="Calibri" w:eastAsia="Calibri"/>
          <w:b w:val="0"/>
          <w:i w:val="0"/>
          <w:color w:val="222222"/>
          <w:sz w:val="19"/>
        </w:rPr>
        <w:t xml:space="preserve"> Head of Customer Support &amp; Legal Counsel.</w:t>
      </w:r>
    </w:p>
    <w:p>
      <w:pPr>
        <w:keepNext/>
        <w:spacing w:before="160" w:after="40"/>
      </w:pPr>
      <w:r>
        <w:rPr>
          <w:rFonts w:ascii="Calibri" w:hAnsi="Calibri" w:eastAsia="Calibri"/>
          <w:b/>
          <w:i w:val="0"/>
          <w:color w:val="1E2660"/>
          <w:sz w:val="20"/>
        </w:rPr>
        <w:t>DOC-42: Sales-to-Implementation Handoff Charter &amp; Customer Onboarding Checklist</w:t>
      </w:r>
    </w:p>
    <w:p>
      <w:pPr>
        <w:pStyle w:val="ListBullet"/>
        <w:spacing w:after="40" w:line="276" w:lineRule="auto"/>
      </w:pPr>
      <w:r>
        <w:rPr>
          <w:rFonts w:ascii="Calibri" w:hAnsi="Calibri" w:eastAsia="Calibri"/>
          <w:b/>
          <w:i w:val="0"/>
          <w:color w:val="222222"/>
          <w:sz w:val="19"/>
        </w:rPr>
        <w:t>Target File Path:</w:t>
      </w:r>
      <w:r>
        <w:rPr>
          <w:rFonts w:ascii="Calibri" w:hAnsi="Calibri" w:eastAsia="Calibri"/>
          <w:b w:val="0"/>
          <w:i w:val="0"/>
          <w:color w:val="222222"/>
          <w:sz w:val="19"/>
        </w:rPr>
        <w:t xml:space="preserve"> </w:t>
      </w:r>
      <w:r>
        <w:rPr>
          <w:rFonts w:ascii="Consolas" w:hAnsi="Consolas" w:eastAsia="Consolas"/>
          <w:b w:val="0"/>
          <w:i w:val="0"/>
          <w:color w:val="8B0000"/>
          <w:sz w:val="18"/>
        </w:rPr>
        <w:t>business_document/07_poc_and_contracting/DOC-42_Sales_to_Delivery_Handoff.md</w:t>
      </w:r>
    </w:p>
    <w:p>
      <w:pPr>
        <w:pStyle w:val="ListBullet"/>
        <w:spacing w:after="40" w:line="276" w:lineRule="auto"/>
      </w:pPr>
      <w:r>
        <w:rPr>
          <w:rFonts w:ascii="Calibri" w:hAnsi="Calibri" w:eastAsia="Calibri"/>
          <w:b/>
          <w:i w:val="0"/>
          <w:color w:val="222222"/>
          <w:sz w:val="19"/>
        </w:rPr>
        <w:t>Lifecycle Phase:</w:t>
      </w:r>
      <w:r>
        <w:rPr>
          <w:rFonts w:ascii="Calibri" w:hAnsi="Calibri" w:eastAsia="Calibri"/>
          <w:b w:val="0"/>
          <w:i w:val="0"/>
          <w:color w:val="222222"/>
          <w:sz w:val="19"/>
        </w:rPr>
        <w:t xml:space="preserve"> Post-Sale Transition &amp; Customer Onboarding</w:t>
      </w:r>
    </w:p>
    <w:p>
      <w:pPr>
        <w:pStyle w:val="ListBullet"/>
        <w:spacing w:after="40" w:line="276" w:lineRule="auto"/>
      </w:pPr>
      <w:r>
        <w:rPr>
          <w:rFonts w:ascii="Calibri" w:hAnsi="Calibri" w:eastAsia="Calibri"/>
          <w:b/>
          <w:i w:val="0"/>
          <w:color w:val="222222"/>
          <w:sz w:val="19"/>
        </w:rPr>
        <w:t>Target Audience:</w:t>
      </w:r>
      <w:r>
        <w:rPr>
          <w:rFonts w:ascii="Calibri" w:hAnsi="Calibri" w:eastAsia="Calibri"/>
          <w:b w:val="0"/>
          <w:i w:val="0"/>
          <w:color w:val="222222"/>
          <w:sz w:val="19"/>
        </w:rPr>
        <w:t xml:space="preserve"> Sales Account Executives, Project Delivery Directors, Lead Technical Project Managers</w:t>
      </w:r>
    </w:p>
    <w:p>
      <w:pPr>
        <w:pStyle w:val="ListBullet"/>
        <w:spacing w:after="40" w:line="276" w:lineRule="auto"/>
      </w:pPr>
      <w:r>
        <w:rPr>
          <w:rFonts w:ascii="Calibri" w:hAnsi="Calibri" w:eastAsia="Calibri"/>
          <w:b/>
          <w:i w:val="0"/>
          <w:color w:val="222222"/>
          <w:sz w:val="19"/>
        </w:rPr>
        <w:t>Operational Purpose:</w:t>
      </w:r>
      <w:r>
        <w:rPr>
          <w:rFonts w:ascii="Calibri" w:hAnsi="Calibri" w:eastAsia="Calibri"/>
          <w:b w:val="0"/>
          <w:i w:val="0"/>
          <w:color w:val="222222"/>
          <w:sz w:val="19"/>
        </w:rPr>
        <w:t xml:space="preserve"> Critical internal governance document ensuring that every custom commitment, commercial agreement, scope item, and relationship dynamic captured during the sales cycle is seamlessly transferred to the implementation team.</w:t>
      </w:r>
    </w:p>
    <w:p>
      <w:pPr>
        <w:pStyle w:val="ListBullet"/>
        <w:spacing w:after="40" w:line="276" w:lineRule="auto"/>
      </w:pPr>
      <w:r>
        <w:rPr>
          <w:rFonts w:ascii="Calibri" w:hAnsi="Calibri" w:eastAsia="Calibri"/>
          <w:b/>
          <w:i w:val="0"/>
          <w:color w:val="222222"/>
          <w:sz w:val="19"/>
        </w:rPr>
        <w:t>Detailed Table of Contents:</w:t>
      </w:r>
    </w:p>
    <w:p>
      <w:pPr>
        <w:spacing w:after="80" w:line="276" w:lineRule="auto"/>
      </w:pPr>
      <w:r>
        <w:rPr>
          <w:rFonts w:ascii="Calibri" w:hAnsi="Calibri" w:eastAsia="Calibri"/>
          <w:b w:val="0"/>
          <w:i w:val="0"/>
          <w:color w:val="222222"/>
          <w:sz w:val="19"/>
        </w:rPr>
        <w:t>1. Handoff Objectives: Zero Information Loss Between Sales and Delivery</w:t>
      </w:r>
    </w:p>
    <w:p>
      <w:pPr>
        <w:spacing w:after="80" w:line="276" w:lineRule="auto"/>
      </w:pPr>
      <w:r>
        <w:rPr>
          <w:rFonts w:ascii="Calibri" w:hAnsi="Calibri" w:eastAsia="Calibri"/>
          <w:b w:val="0"/>
          <w:i w:val="0"/>
          <w:color w:val="222222"/>
          <w:sz w:val="19"/>
        </w:rPr>
        <w:t>2. Commercial Summary Sheet: Contract Value, Payment Milestones, Scope Limits, SOW Sign-Off</w:t>
      </w:r>
    </w:p>
    <w:p>
      <w:pPr>
        <w:spacing w:after="80" w:line="276" w:lineRule="auto"/>
      </w:pPr>
      <w:r>
        <w:rPr>
          <w:rFonts w:ascii="Calibri" w:hAnsi="Calibri" w:eastAsia="Calibri"/>
          <w:b w:val="0"/>
          <w:i w:val="0"/>
          <w:color w:val="222222"/>
          <w:sz w:val="19"/>
        </w:rPr>
        <w:t>3. Key Stakeholder Directory: Bank Sponsors, Project Managers, Technical Champions, Detractors</w:t>
      </w:r>
    </w:p>
    <w:p>
      <w:pPr>
        <w:spacing w:after="80" w:line="276" w:lineRule="auto"/>
      </w:pPr>
      <w:r>
        <w:rPr>
          <w:rFonts w:ascii="Calibri" w:hAnsi="Calibri" w:eastAsia="Calibri"/>
          <w:b w:val="0"/>
          <w:i w:val="0"/>
          <w:color w:val="222222"/>
          <w:sz w:val="19"/>
        </w:rPr>
        <w:t>4. Documented Technical Environment: CBS Version, Database Flavor, Server Infrastructure, Network Architecture</w:t>
      </w:r>
    </w:p>
    <w:p>
      <w:pPr>
        <w:spacing w:after="80" w:line="276" w:lineRule="auto"/>
      </w:pPr>
      <w:r>
        <w:rPr>
          <w:rFonts w:ascii="Calibri" w:hAnsi="Calibri" w:eastAsia="Calibri"/>
          <w:b w:val="0"/>
          <w:i w:val="0"/>
          <w:color w:val="222222"/>
          <w:sz w:val="19"/>
        </w:rPr>
        <w:t>5. Agreed Customizations and Scope Exclusions Register</w:t>
      </w:r>
    </w:p>
    <w:p>
      <w:pPr>
        <w:spacing w:after="80" w:line="276" w:lineRule="auto"/>
      </w:pPr>
      <w:r>
        <w:rPr>
          <w:rFonts w:ascii="Calibri" w:hAnsi="Calibri" w:eastAsia="Calibri"/>
          <w:b w:val="0"/>
          <w:i w:val="0"/>
          <w:color w:val="222222"/>
          <w:sz w:val="19"/>
        </w:rPr>
        <w:t>6. Formal Handoff Meeting Agenda &amp; Sign-Off Protocol</w:t>
      </w:r>
    </w:p>
    <w:p>
      <w:pPr>
        <w:spacing w:after="80" w:line="276" w:lineRule="auto"/>
      </w:pPr>
      <w:r>
        <w:rPr>
          <w:rFonts w:ascii="Calibri" w:hAnsi="Calibri" w:eastAsia="Calibri"/>
          <w:b w:val="0"/>
          <w:i w:val="0"/>
          <w:color w:val="222222"/>
          <w:sz w:val="19"/>
        </w:rPr>
        <w:t>7. Customer Onboarding Kickoff Package: Pre-Kickoff Questionnaire, Hardware Provisioning Guide</w:t>
      </w:r>
    </w:p>
    <w:p>
      <w:pPr>
        <w:spacing w:after="80" w:line="276" w:lineRule="auto"/>
      </w:pPr>
      <w:r>
        <w:rPr>
          <w:rFonts w:ascii="Calibri" w:hAnsi="Calibri" w:eastAsia="Calibri"/>
          <w:b w:val="0"/>
          <w:i w:val="0"/>
          <w:color w:val="222222"/>
          <w:sz w:val="19"/>
        </w:rPr>
        <w:t>8. 30-Day Customer Success Check-In Cadence</w:t>
      </w:r>
    </w:p>
    <w:p>
      <w:pPr>
        <w:pStyle w:val="ListBullet"/>
        <w:spacing w:after="40" w:line="276" w:lineRule="auto"/>
      </w:pPr>
      <w:r>
        <w:rPr>
          <w:rFonts w:ascii="Calibri" w:hAnsi="Calibri" w:eastAsia="Calibri"/>
          <w:b/>
          <w:i w:val="0"/>
          <w:color w:val="222222"/>
          <w:sz w:val="19"/>
        </w:rPr>
        <w:t>Core Value Proposition:</w:t>
      </w:r>
      <w:r>
        <w:rPr>
          <w:rFonts w:ascii="Calibri" w:hAnsi="Calibri" w:eastAsia="Calibri"/>
          <w:b w:val="0"/>
          <w:i w:val="0"/>
          <w:color w:val="222222"/>
          <w:sz w:val="19"/>
        </w:rPr>
        <w:t xml:space="preserve"> Eliminate post-sale customer disillusionment, ensure profitable project delivery, and lay the foundation for long-term customer delight and case study generation.</w:t>
      </w:r>
    </w:p>
    <w:p>
      <w:pPr>
        <w:pStyle w:val="ListBullet"/>
        <w:spacing w:after="40" w:line="276" w:lineRule="auto"/>
      </w:pPr>
      <w:r>
        <w:rPr>
          <w:rFonts w:ascii="Calibri" w:hAnsi="Calibri" w:eastAsia="Calibri"/>
          <w:b/>
          <w:i w:val="0"/>
          <w:color w:val="222222"/>
          <w:sz w:val="19"/>
        </w:rPr>
        <w:t>Required Inputs &amp; Exhibits:</w:t>
      </w:r>
      <w:r>
        <w:rPr>
          <w:rFonts w:ascii="Calibri" w:hAnsi="Calibri" w:eastAsia="Calibri"/>
          <w:b w:val="0"/>
          <w:i w:val="0"/>
          <w:color w:val="222222"/>
          <w:sz w:val="19"/>
        </w:rPr>
        <w:t xml:space="preserve"> Transition checklist form, kick-off meeting slide deck template.</w:t>
      </w:r>
    </w:p>
    <w:p>
      <w:pPr>
        <w:pStyle w:val="ListBullet"/>
        <w:spacing w:after="40" w:line="276" w:lineRule="auto"/>
      </w:pPr>
      <w:r>
        <w:rPr>
          <w:rFonts w:ascii="Calibri" w:hAnsi="Calibri" w:eastAsia="Calibri"/>
          <w:b/>
          <w:i w:val="0"/>
          <w:color w:val="222222"/>
          <w:sz w:val="19"/>
        </w:rPr>
        <w:t>Maintenance Owner:</w:t>
      </w:r>
      <w:r>
        <w:rPr>
          <w:rFonts w:ascii="Calibri" w:hAnsi="Calibri" w:eastAsia="Calibri"/>
          <w:b w:val="0"/>
          <w:i w:val="0"/>
          <w:color w:val="222222"/>
          <w:sz w:val="19"/>
        </w:rPr>
        <w:t xml:space="preserve"> Director of Customer Success &amp; Head of Sales Operations.</w:t>
      </w:r>
    </w:p>
    <w:p>
      <w:pPr>
        <w:pStyle w:val="Heading2"/>
        <w:keepNext/>
      </w:pPr>
      <w:r>
        <w:t>6. Sales Enablement Matrix &amp; Strategy Execution</w:t>
      </w:r>
    </w:p>
    <w:p>
      <w:pPr>
        <w:pStyle w:val="Heading3"/>
        <w:keepNext/>
      </w:pPr>
      <w:r>
        <w:t>6.1 Stakeholder Alignment &amp; Winning Arguments</w:t>
      </w:r>
    </w:p>
    <w:p>
      <w:pPr>
        <w:spacing w:after="80" w:line="276" w:lineRule="auto"/>
      </w:pPr>
      <w:r>
        <w:rPr>
          <w:rFonts w:ascii="Calibri" w:hAnsi="Calibri" w:eastAsia="Calibri"/>
          <w:b w:val="0"/>
          <w:i w:val="0"/>
          <w:color w:val="222222"/>
          <w:sz w:val="19"/>
        </w:rPr>
        <w:t>To maximize deal conversion, the sales team must address the unique drivers of each committee member:</w:t>
      </w:r>
    </w:p>
    <w:tbl>
      <w:tblPr>
        <w:tblStyle w:val="TableGrid"/>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1928"/>
        <w:gridCol w:w="1928"/>
        <w:gridCol w:w="1928"/>
        <w:gridCol w:w="1928"/>
        <w:gridCol w:w="1928"/>
      </w:tblGrid>
      <w:tr>
        <w:trPr>
          <w:tblHeader w:val="true"/>
          <w:cantSplit/>
        </w:trPr>
        <w:tc>
          <w:tcPr>
            <w:tcW w:type="dxa" w:w="1417"/>
            <w:shd w:fill="1E2660"/>
            <w:tcMar>
              <w:top w:w="140" w:type="dxa"/>
              <w:bottom w:w="140" w:type="dxa"/>
              <w:left w:w="180" w:type="dxa"/>
              <w:right w:w="180" w:type="dxa"/>
            </w:tcMar>
          </w:tcPr>
          <w:p>
            <w:pPr>
              <w:spacing w:after="40"/>
            </w:pPr>
            <w:r>
              <w:rPr>
                <w:rFonts w:ascii="Calibri" w:hAnsi="Calibri" w:eastAsia="Calibri"/>
                <w:b/>
                <w:i w:val="0"/>
                <w:color w:val="FFFFFF"/>
                <w:sz w:val="18"/>
              </w:rPr>
              <w:t>Stakeholder Role</w:t>
            </w:r>
          </w:p>
        </w:tc>
        <w:tc>
          <w:tcPr>
            <w:tcW w:type="dxa" w:w="1984"/>
            <w:shd w:fill="1E2660"/>
            <w:tcMar>
              <w:top w:w="140" w:type="dxa"/>
              <w:bottom w:w="140" w:type="dxa"/>
              <w:left w:w="180" w:type="dxa"/>
              <w:right w:w="180" w:type="dxa"/>
            </w:tcMar>
          </w:tcPr>
          <w:p>
            <w:pPr>
              <w:spacing w:after="40"/>
            </w:pPr>
            <w:r>
              <w:rPr>
                <w:rFonts w:ascii="Calibri" w:hAnsi="Calibri" w:eastAsia="Calibri"/>
                <w:b/>
                <w:i w:val="0"/>
                <w:color w:val="FFFFFF"/>
                <w:sz w:val="18"/>
              </w:rPr>
              <w:t>Primary KPIs &amp; Drivers</w:t>
            </w:r>
          </w:p>
        </w:tc>
        <w:tc>
          <w:tcPr>
            <w:tcW w:type="dxa" w:w="1984"/>
            <w:shd w:fill="1E2660"/>
            <w:tcMar>
              <w:top w:w="140" w:type="dxa"/>
              <w:bottom w:w="140" w:type="dxa"/>
              <w:left w:w="180" w:type="dxa"/>
              <w:right w:w="180" w:type="dxa"/>
            </w:tcMar>
          </w:tcPr>
          <w:p>
            <w:pPr>
              <w:spacing w:after="40"/>
            </w:pPr>
            <w:r>
              <w:rPr>
                <w:rFonts w:ascii="Calibri" w:hAnsi="Calibri" w:eastAsia="Calibri"/>
                <w:b/>
                <w:i w:val="0"/>
                <w:color w:val="FFFFFF"/>
                <w:sz w:val="18"/>
              </w:rPr>
              <w:t>Primary Fears &amp; Risks</w:t>
            </w:r>
          </w:p>
        </w:tc>
        <w:tc>
          <w:tcPr>
            <w:tcW w:type="dxa" w:w="2551"/>
            <w:shd w:fill="1E2660"/>
            <w:tcMar>
              <w:top w:w="140" w:type="dxa"/>
              <w:bottom w:w="140" w:type="dxa"/>
              <w:left w:w="180" w:type="dxa"/>
              <w:right w:w="180" w:type="dxa"/>
            </w:tcMar>
          </w:tcPr>
          <w:p>
            <w:pPr>
              <w:spacing w:after="40"/>
            </w:pPr>
            <w:r>
              <w:rPr>
                <w:rFonts w:ascii="Calibri" w:hAnsi="Calibri" w:eastAsia="Calibri"/>
                <w:b/>
                <w:i w:val="0"/>
                <w:color w:val="FFFFFF"/>
                <w:sz w:val="18"/>
              </w:rPr>
              <w:t>ULMS Winning Proof Point</w:t>
            </w:r>
          </w:p>
        </w:tc>
        <w:tc>
          <w:tcPr>
            <w:tcW w:type="dxa" w:w="1701"/>
            <w:shd w:fill="1E2660"/>
            <w:tcMar>
              <w:top w:w="140" w:type="dxa"/>
              <w:bottom w:w="140" w:type="dxa"/>
              <w:left w:w="180" w:type="dxa"/>
              <w:right w:w="180" w:type="dxa"/>
            </w:tcMar>
          </w:tcPr>
          <w:p>
            <w:pPr>
              <w:spacing w:after="40"/>
            </w:pPr>
            <w:r>
              <w:rPr>
                <w:rFonts w:ascii="Calibri" w:hAnsi="Calibri" w:eastAsia="Calibri"/>
                <w:b/>
                <w:i w:val="0"/>
                <w:color w:val="FFFFFF"/>
                <w:sz w:val="18"/>
              </w:rPr>
              <w:t>Supporting Collateral</w:t>
            </w:r>
          </w:p>
        </w:tc>
      </w:tr>
      <w:tr>
        <w:trPr>
          <w:cantSplit/>
        </w:trPr>
        <w:tc>
          <w:tcPr>
            <w:tcW w:type="dxa" w:w="1417"/>
            <w:tcMar>
              <w:top w:w="120" w:type="dxa"/>
              <w:bottom w:w="120" w:type="dxa"/>
              <w:left w:w="160" w:type="dxa"/>
              <w:right w:w="160" w:type="dxa"/>
            </w:tcMar>
          </w:tcPr>
          <w:p>
            <w:pPr>
              <w:spacing w:after="40" w:line="276" w:lineRule="auto"/>
            </w:pPr>
            <w:r>
              <w:rPr>
                <w:rFonts w:ascii="Calibri" w:hAnsi="Calibri" w:eastAsia="Calibri"/>
                <w:b/>
                <w:i w:val="0"/>
                <w:color w:val="222222"/>
                <w:sz w:val="18"/>
              </w:rPr>
              <w:t>Managing Director / CEO</w:t>
            </w:r>
          </w:p>
        </w:tc>
        <w:tc>
          <w:tcPr>
            <w:tcW w:type="dxa" w:w="1984"/>
            <w:tcMar>
              <w:top w:w="120" w:type="dxa"/>
              <w:bottom w:w="120" w:type="dxa"/>
              <w:left w:w="160" w:type="dxa"/>
              <w:right w:w="160" w:type="dxa"/>
            </w:tcMar>
          </w:tcPr>
          <w:p>
            <w:pPr>
              <w:spacing w:after="40" w:line="276" w:lineRule="auto"/>
            </w:pPr>
            <w:r>
              <w:rPr>
                <w:rFonts w:ascii="Calibri" w:hAnsi="Calibri" w:eastAsia="Calibri"/>
                <w:b w:val="0"/>
                <w:i w:val="0"/>
                <w:color w:val="222222"/>
                <w:sz w:val="18"/>
              </w:rPr>
              <w:t>Market share growth, return on equity (ROE), operational efficiency</w:t>
            </w:r>
          </w:p>
        </w:tc>
        <w:tc>
          <w:tcPr>
            <w:tcW w:type="dxa" w:w="1984"/>
            <w:tcMar>
              <w:top w:w="120" w:type="dxa"/>
              <w:bottom w:w="120" w:type="dxa"/>
              <w:left w:w="160" w:type="dxa"/>
              <w:right w:w="160" w:type="dxa"/>
            </w:tcMar>
          </w:tcPr>
          <w:p>
            <w:pPr>
              <w:spacing w:after="40" w:line="276" w:lineRule="auto"/>
            </w:pPr>
            <w:r>
              <w:rPr>
                <w:rFonts w:ascii="Calibri" w:hAnsi="Calibri" w:eastAsia="Calibri"/>
                <w:b w:val="0"/>
                <w:i w:val="0"/>
                <w:color w:val="222222"/>
                <w:sz w:val="18"/>
              </w:rPr>
              <w:t>Project failure, bad press, regulatory scandal</w:t>
            </w:r>
          </w:p>
        </w:tc>
        <w:tc>
          <w:tcPr>
            <w:tcW w:type="dxa" w:w="2551"/>
            <w:tcMar>
              <w:top w:w="120" w:type="dxa"/>
              <w:bottom w:w="120" w:type="dxa"/>
              <w:left w:w="160" w:type="dxa"/>
              <w:right w:w="160" w:type="dxa"/>
            </w:tcMar>
          </w:tcPr>
          <w:p>
            <w:pPr>
              <w:spacing w:after="40" w:line="276" w:lineRule="auto"/>
            </w:pPr>
            <w:r>
              <w:rPr>
                <w:rFonts w:ascii="Calibri" w:hAnsi="Calibri" w:eastAsia="Calibri"/>
                <w:b w:val="0"/>
                <w:i w:val="0"/>
                <w:color w:val="222222"/>
                <w:sz w:val="18"/>
              </w:rPr>
              <w:t>80% lower TCO, proven in Tier-1 banks, sub-9-month payback</w:t>
            </w:r>
          </w:p>
        </w:tc>
        <w:tc>
          <w:tcPr>
            <w:tcW w:type="dxa" w:w="1701"/>
            <w:tcMar>
              <w:top w:w="120" w:type="dxa"/>
              <w:bottom w:w="120" w:type="dxa"/>
              <w:left w:w="160" w:type="dxa"/>
              <w:right w:w="160" w:type="dxa"/>
            </w:tcMar>
          </w:tcPr>
          <w:p>
            <w:pPr>
              <w:spacing w:after="40" w:line="276" w:lineRule="auto"/>
            </w:pPr>
            <w:r>
              <w:rPr>
                <w:rFonts w:ascii="Consolas" w:hAnsi="Consolas" w:eastAsia="Consolas"/>
                <w:b w:val="0"/>
                <w:i w:val="0"/>
                <w:color w:val="8B0000"/>
                <w:sz w:val="17"/>
              </w:rPr>
              <w:t>DOC-01</w:t>
            </w:r>
            <w:r>
              <w:rPr>
                <w:rFonts w:ascii="Calibri" w:hAnsi="Calibri" w:eastAsia="Calibri"/>
                <w:b w:val="0"/>
                <w:i w:val="0"/>
                <w:color w:val="222222"/>
                <w:sz w:val="18"/>
              </w:rPr>
              <w:t xml:space="preserve">, </w:t>
            </w:r>
            <w:r>
              <w:rPr>
                <w:rFonts w:ascii="Consolas" w:hAnsi="Consolas" w:eastAsia="Consolas"/>
                <w:b w:val="0"/>
                <w:i w:val="0"/>
                <w:color w:val="8B0000"/>
                <w:sz w:val="17"/>
              </w:rPr>
              <w:t>DOC-03</w:t>
            </w:r>
            <w:r>
              <w:rPr>
                <w:rFonts w:ascii="Calibri" w:hAnsi="Calibri" w:eastAsia="Calibri"/>
                <w:b w:val="0"/>
                <w:i w:val="0"/>
                <w:color w:val="222222"/>
                <w:sz w:val="18"/>
              </w:rPr>
              <w:t xml:space="preserve">, </w:t>
            </w:r>
            <w:r>
              <w:rPr>
                <w:rFonts w:ascii="Consolas" w:hAnsi="Consolas" w:eastAsia="Consolas"/>
                <w:b w:val="0"/>
                <w:i w:val="0"/>
                <w:color w:val="8B0000"/>
                <w:sz w:val="17"/>
              </w:rPr>
              <w:t>DOC-05</w:t>
            </w:r>
            <w:r>
              <w:rPr>
                <w:rFonts w:ascii="Calibri" w:hAnsi="Calibri" w:eastAsia="Calibri"/>
                <w:b w:val="0"/>
                <w:i w:val="0"/>
                <w:color w:val="222222"/>
                <w:sz w:val="18"/>
              </w:rPr>
              <w:t xml:space="preserve">, </w:t>
            </w:r>
            <w:r>
              <w:rPr>
                <w:rFonts w:ascii="Consolas" w:hAnsi="Consolas" w:eastAsia="Consolas"/>
                <w:b w:val="0"/>
                <w:i w:val="0"/>
                <w:color w:val="8B0000"/>
                <w:sz w:val="17"/>
              </w:rPr>
              <w:t>DOC-32</w:t>
            </w:r>
          </w:p>
        </w:tc>
      </w:tr>
      <w:tr>
        <w:trPr>
          <w:cantSplit/>
        </w:trPr>
        <w:tc>
          <w:tcPr>
            <w:tcW w:type="dxa" w:w="1417"/>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Chief Risk Officer (CRO)</w:t>
            </w:r>
          </w:p>
        </w:tc>
        <w:tc>
          <w:tcPr>
            <w:tcW w:type="dxa" w:w="1984"/>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NPL minimization, regulatory compliance, asset quality</w:t>
            </w:r>
          </w:p>
        </w:tc>
        <w:tc>
          <w:tcPr>
            <w:tcW w:type="dxa" w:w="1984"/>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Regulatory fines, audit citations, faulty classification</w:t>
            </w:r>
          </w:p>
        </w:tc>
        <w:tc>
          <w:tcPr>
            <w:tcW w:type="dxa" w:w="2551"/>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100% native BRPD 15/2024 &amp; IFRS-9 ECL engines, automated CIB</w:t>
            </w:r>
          </w:p>
        </w:tc>
        <w:tc>
          <w:tcPr>
            <w:tcW w:type="dxa" w:w="1701"/>
            <w:shd w:fill="F0F2FB"/>
            <w:tcMar>
              <w:top w:w="120" w:type="dxa"/>
              <w:bottom w:w="120" w:type="dxa"/>
              <w:left w:w="160" w:type="dxa"/>
              <w:right w:w="160" w:type="dxa"/>
            </w:tcMar>
          </w:tcPr>
          <w:p>
            <w:pPr>
              <w:spacing w:after="40" w:line="276" w:lineRule="auto"/>
            </w:pPr>
            <w:r>
              <w:rPr>
                <w:rFonts w:ascii="Consolas" w:hAnsi="Consolas" w:eastAsia="Consolas"/>
                <w:b w:val="0"/>
                <w:i w:val="0"/>
                <w:color w:val="8B0000"/>
                <w:sz w:val="17"/>
              </w:rPr>
              <w:t>DOC-35</w:t>
            </w:r>
            <w:r>
              <w:rPr>
                <w:rFonts w:ascii="Calibri" w:hAnsi="Calibri" w:eastAsia="Calibri"/>
                <w:b w:val="0"/>
                <w:i w:val="0"/>
                <w:color w:val="222222"/>
                <w:sz w:val="18"/>
              </w:rPr>
              <w:t xml:space="preserve">, </w:t>
            </w:r>
            <w:r>
              <w:rPr>
                <w:rFonts w:ascii="Consolas" w:hAnsi="Consolas" w:eastAsia="Consolas"/>
                <w:b w:val="0"/>
                <w:i w:val="0"/>
                <w:color w:val="8B0000"/>
                <w:sz w:val="17"/>
              </w:rPr>
              <w:t>DOC-36</w:t>
            </w:r>
            <w:r>
              <w:rPr>
                <w:rFonts w:ascii="Calibri" w:hAnsi="Calibri" w:eastAsia="Calibri"/>
                <w:b w:val="0"/>
                <w:i w:val="0"/>
                <w:color w:val="222222"/>
                <w:sz w:val="18"/>
              </w:rPr>
              <w:t xml:space="preserve">, </w:t>
            </w:r>
            <w:r>
              <w:rPr>
                <w:rFonts w:ascii="Consolas" w:hAnsi="Consolas" w:eastAsia="Consolas"/>
                <w:b w:val="0"/>
                <w:i w:val="0"/>
                <w:color w:val="8B0000"/>
                <w:sz w:val="17"/>
              </w:rPr>
              <w:t>DOC-37</w:t>
            </w:r>
          </w:p>
        </w:tc>
      </w:tr>
      <w:tr>
        <w:trPr>
          <w:cantSplit/>
        </w:trPr>
        <w:tc>
          <w:tcPr>
            <w:tcW w:type="dxa" w:w="1417"/>
            <w:tcMar>
              <w:top w:w="120" w:type="dxa"/>
              <w:bottom w:w="120" w:type="dxa"/>
              <w:left w:w="160" w:type="dxa"/>
              <w:right w:w="160" w:type="dxa"/>
            </w:tcMar>
          </w:tcPr>
          <w:p>
            <w:pPr>
              <w:spacing w:after="40" w:line="276" w:lineRule="auto"/>
            </w:pPr>
            <w:r>
              <w:rPr>
                <w:rFonts w:ascii="Calibri" w:hAnsi="Calibri" w:eastAsia="Calibri"/>
                <w:b/>
                <w:i w:val="0"/>
                <w:color w:val="222222"/>
                <w:sz w:val="18"/>
              </w:rPr>
              <w:t>Chief Information Officer (CIO)</w:t>
            </w:r>
          </w:p>
        </w:tc>
        <w:tc>
          <w:tcPr>
            <w:tcW w:type="dxa" w:w="1984"/>
            <w:tcMar>
              <w:top w:w="120" w:type="dxa"/>
              <w:bottom w:w="120" w:type="dxa"/>
              <w:left w:w="160" w:type="dxa"/>
              <w:right w:w="160" w:type="dxa"/>
            </w:tcMar>
          </w:tcPr>
          <w:p>
            <w:pPr>
              <w:spacing w:after="40" w:line="276" w:lineRule="auto"/>
            </w:pPr>
            <w:r>
              <w:rPr>
                <w:rFonts w:ascii="Calibri" w:hAnsi="Calibri" w:eastAsia="Calibri"/>
                <w:b w:val="0"/>
                <w:i w:val="0"/>
                <w:color w:val="222222"/>
                <w:sz w:val="18"/>
              </w:rPr>
              <w:t>System uptime, low maintenance, clean architecture, security</w:t>
            </w:r>
          </w:p>
        </w:tc>
        <w:tc>
          <w:tcPr>
            <w:tcW w:type="dxa" w:w="1984"/>
            <w:tcMar>
              <w:top w:w="120" w:type="dxa"/>
              <w:bottom w:w="120" w:type="dxa"/>
              <w:left w:w="160" w:type="dxa"/>
              <w:right w:w="160" w:type="dxa"/>
            </w:tcMar>
          </w:tcPr>
          <w:p>
            <w:pPr>
              <w:spacing w:after="40" w:line="276" w:lineRule="auto"/>
            </w:pPr>
            <w:r>
              <w:rPr>
                <w:rFonts w:ascii="Calibri" w:hAnsi="Calibri" w:eastAsia="Calibri"/>
                <w:b w:val="0"/>
                <w:i w:val="0"/>
                <w:color w:val="222222"/>
                <w:sz w:val="18"/>
              </w:rPr>
              <w:t>Integration nightmares, vendor abandonment, vendor lock-in</w:t>
            </w:r>
          </w:p>
        </w:tc>
        <w:tc>
          <w:tcPr>
            <w:tcW w:type="dxa" w:w="2551"/>
            <w:tcMar>
              <w:top w:w="120" w:type="dxa"/>
              <w:bottom w:w="120" w:type="dxa"/>
              <w:left w:w="160" w:type="dxa"/>
              <w:right w:w="160" w:type="dxa"/>
            </w:tcMar>
          </w:tcPr>
          <w:p>
            <w:pPr>
              <w:spacing w:after="40" w:line="276" w:lineRule="auto"/>
            </w:pPr>
            <w:r>
              <w:rPr>
                <w:rFonts w:ascii="Calibri" w:hAnsi="Calibri" w:eastAsia="Calibri"/>
                <w:b w:val="0"/>
                <w:i w:val="0"/>
                <w:color w:val="222222"/>
                <w:sz w:val="18"/>
              </w:rPr>
              <w:t>Spring Boot 4 modular monolith, open REST APIs, Dhaka 24/7 team</w:t>
            </w:r>
          </w:p>
        </w:tc>
        <w:tc>
          <w:tcPr>
            <w:tcW w:type="dxa" w:w="1701"/>
            <w:tcMar>
              <w:top w:w="120" w:type="dxa"/>
              <w:bottom w:w="120" w:type="dxa"/>
              <w:left w:w="160" w:type="dxa"/>
              <w:right w:w="160" w:type="dxa"/>
            </w:tcMar>
          </w:tcPr>
          <w:p>
            <w:pPr>
              <w:spacing w:after="40" w:line="276" w:lineRule="auto"/>
            </w:pPr>
            <w:r>
              <w:rPr>
                <w:rFonts w:ascii="Consolas" w:hAnsi="Consolas" w:eastAsia="Consolas"/>
                <w:b w:val="0"/>
                <w:i w:val="0"/>
                <w:color w:val="8B0000"/>
                <w:sz w:val="17"/>
              </w:rPr>
              <w:t>DOC-27</w:t>
            </w:r>
            <w:r>
              <w:rPr>
                <w:rFonts w:ascii="Calibri" w:hAnsi="Calibri" w:eastAsia="Calibri"/>
                <w:b w:val="0"/>
                <w:i w:val="0"/>
                <w:color w:val="222222"/>
                <w:sz w:val="18"/>
              </w:rPr>
              <w:t xml:space="preserve">, </w:t>
            </w:r>
            <w:r>
              <w:rPr>
                <w:rFonts w:ascii="Consolas" w:hAnsi="Consolas" w:eastAsia="Consolas"/>
                <w:b w:val="0"/>
                <w:i w:val="0"/>
                <w:color w:val="8B0000"/>
                <w:sz w:val="17"/>
              </w:rPr>
              <w:t>DOC-28</w:t>
            </w:r>
            <w:r>
              <w:rPr>
                <w:rFonts w:ascii="Calibri" w:hAnsi="Calibri" w:eastAsia="Calibri"/>
                <w:b w:val="0"/>
                <w:i w:val="0"/>
                <w:color w:val="222222"/>
                <w:sz w:val="18"/>
              </w:rPr>
              <w:t xml:space="preserve">, </w:t>
            </w:r>
            <w:r>
              <w:rPr>
                <w:rFonts w:ascii="Consolas" w:hAnsi="Consolas" w:eastAsia="Consolas"/>
                <w:b w:val="0"/>
                <w:i w:val="0"/>
                <w:color w:val="8B0000"/>
                <w:sz w:val="17"/>
              </w:rPr>
              <w:t>DOC-30</w:t>
            </w:r>
          </w:p>
        </w:tc>
      </w:tr>
      <w:tr>
        <w:trPr>
          <w:cantSplit/>
        </w:trPr>
        <w:tc>
          <w:tcPr>
            <w:tcW w:type="dxa" w:w="1417"/>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Chief Financial Officer (CFO)</w:t>
            </w:r>
          </w:p>
        </w:tc>
        <w:tc>
          <w:tcPr>
            <w:tcW w:type="dxa" w:w="1984"/>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Capital expenditure efficiency, predictable OpEx, ROI</w:t>
            </w:r>
          </w:p>
        </w:tc>
        <w:tc>
          <w:tcPr>
            <w:tcW w:type="dxa" w:w="1984"/>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Forex drains, hidden customization costs, budget blowouts</w:t>
            </w:r>
          </w:p>
        </w:tc>
        <w:tc>
          <w:tcPr>
            <w:tcW w:type="dxa" w:w="2551"/>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Transparent BDT pricing, zero forex risk, 5-year TCO savings</w:t>
            </w:r>
          </w:p>
        </w:tc>
        <w:tc>
          <w:tcPr>
            <w:tcW w:type="dxa" w:w="1701"/>
            <w:shd w:fill="F0F2FB"/>
            <w:tcMar>
              <w:top w:w="120" w:type="dxa"/>
              <w:bottom w:w="120" w:type="dxa"/>
              <w:left w:w="160" w:type="dxa"/>
              <w:right w:w="160" w:type="dxa"/>
            </w:tcMar>
          </w:tcPr>
          <w:p>
            <w:pPr>
              <w:spacing w:after="40" w:line="276" w:lineRule="auto"/>
            </w:pPr>
            <w:r>
              <w:rPr>
                <w:rFonts w:ascii="Consolas" w:hAnsi="Consolas" w:eastAsia="Consolas"/>
                <w:b w:val="0"/>
                <w:i w:val="0"/>
                <w:color w:val="8B0000"/>
                <w:sz w:val="17"/>
              </w:rPr>
              <w:t>DOC-24</w:t>
            </w:r>
            <w:r>
              <w:rPr>
                <w:rFonts w:ascii="Calibri" w:hAnsi="Calibri" w:eastAsia="Calibri"/>
                <w:b w:val="0"/>
                <w:i w:val="0"/>
                <w:color w:val="222222"/>
                <w:sz w:val="18"/>
              </w:rPr>
              <w:t xml:space="preserve">, </w:t>
            </w:r>
            <w:r>
              <w:rPr>
                <w:rFonts w:ascii="Consolas" w:hAnsi="Consolas" w:eastAsia="Consolas"/>
                <w:b w:val="0"/>
                <w:i w:val="0"/>
                <w:color w:val="8B0000"/>
                <w:sz w:val="17"/>
              </w:rPr>
              <w:t>DOC-31</w:t>
            </w:r>
            <w:r>
              <w:rPr>
                <w:rFonts w:ascii="Calibri" w:hAnsi="Calibri" w:eastAsia="Calibri"/>
                <w:b w:val="0"/>
                <w:i w:val="0"/>
                <w:color w:val="222222"/>
                <w:sz w:val="18"/>
              </w:rPr>
              <w:t xml:space="preserve">, </w:t>
            </w:r>
            <w:r>
              <w:rPr>
                <w:rFonts w:ascii="Consolas" w:hAnsi="Consolas" w:eastAsia="Consolas"/>
                <w:b w:val="0"/>
                <w:i w:val="0"/>
                <w:color w:val="8B0000"/>
                <w:sz w:val="17"/>
              </w:rPr>
              <w:t>DOC-32</w:t>
            </w:r>
            <w:r>
              <w:rPr>
                <w:rFonts w:ascii="Calibri" w:hAnsi="Calibri" w:eastAsia="Calibri"/>
                <w:b w:val="0"/>
                <w:i w:val="0"/>
                <w:color w:val="222222"/>
                <w:sz w:val="18"/>
              </w:rPr>
              <w:t xml:space="preserve">, </w:t>
            </w:r>
            <w:r>
              <w:rPr>
                <w:rFonts w:ascii="Consolas" w:hAnsi="Consolas" w:eastAsia="Consolas"/>
                <w:b w:val="0"/>
                <w:i w:val="0"/>
                <w:color w:val="8B0000"/>
                <w:sz w:val="17"/>
              </w:rPr>
              <w:t>DOC-33</w:t>
            </w:r>
          </w:p>
        </w:tc>
      </w:tr>
      <w:tr>
        <w:trPr>
          <w:cantSplit/>
        </w:trPr>
        <w:tc>
          <w:tcPr>
            <w:tcW w:type="dxa" w:w="1417"/>
            <w:tcMar>
              <w:top w:w="120" w:type="dxa"/>
              <w:bottom w:w="120" w:type="dxa"/>
              <w:left w:w="160" w:type="dxa"/>
              <w:right w:w="160" w:type="dxa"/>
            </w:tcMar>
          </w:tcPr>
          <w:p>
            <w:pPr>
              <w:spacing w:after="40" w:line="276" w:lineRule="auto"/>
            </w:pPr>
            <w:r>
              <w:rPr>
                <w:rFonts w:ascii="Calibri" w:hAnsi="Calibri" w:eastAsia="Calibri"/>
                <w:b/>
                <w:i w:val="0"/>
                <w:color w:val="222222"/>
                <w:sz w:val="18"/>
              </w:rPr>
              <w:t>Head of Retail / SME</w:t>
            </w:r>
          </w:p>
        </w:tc>
        <w:tc>
          <w:tcPr>
            <w:tcW w:type="dxa" w:w="1984"/>
            <w:tcMar>
              <w:top w:w="120" w:type="dxa"/>
              <w:bottom w:w="120" w:type="dxa"/>
              <w:left w:w="160" w:type="dxa"/>
              <w:right w:w="160" w:type="dxa"/>
            </w:tcMar>
          </w:tcPr>
          <w:p>
            <w:pPr>
              <w:spacing w:after="40" w:line="276" w:lineRule="auto"/>
            </w:pPr>
            <w:r>
              <w:rPr>
                <w:rFonts w:ascii="Calibri" w:hAnsi="Calibri" w:eastAsia="Calibri"/>
                <w:b w:val="0"/>
                <w:i w:val="0"/>
                <w:color w:val="222222"/>
                <w:sz w:val="18"/>
              </w:rPr>
              <w:t>Portfolio disbursement volume, TAT, customer experience</w:t>
            </w:r>
          </w:p>
        </w:tc>
        <w:tc>
          <w:tcPr>
            <w:tcW w:type="dxa" w:w="1984"/>
            <w:tcMar>
              <w:top w:w="120" w:type="dxa"/>
              <w:bottom w:w="120" w:type="dxa"/>
              <w:left w:w="160" w:type="dxa"/>
              <w:right w:w="160" w:type="dxa"/>
            </w:tcMar>
          </w:tcPr>
          <w:p>
            <w:pPr>
              <w:spacing w:after="40" w:line="276" w:lineRule="auto"/>
            </w:pPr>
            <w:r>
              <w:rPr>
                <w:rFonts w:ascii="Calibri" w:hAnsi="Calibri" w:eastAsia="Calibri"/>
                <w:b w:val="0"/>
                <w:i w:val="0"/>
                <w:color w:val="222222"/>
                <w:sz w:val="18"/>
              </w:rPr>
              <w:t>High customer drop-off, manual paperwork, branch resistance</w:t>
            </w:r>
          </w:p>
        </w:tc>
        <w:tc>
          <w:tcPr>
            <w:tcW w:type="dxa" w:w="2551"/>
            <w:tcMar>
              <w:top w:w="120" w:type="dxa"/>
              <w:bottom w:w="120" w:type="dxa"/>
              <w:left w:w="160" w:type="dxa"/>
              <w:right w:w="160" w:type="dxa"/>
            </w:tcMar>
          </w:tcPr>
          <w:p>
            <w:pPr>
              <w:spacing w:after="40" w:line="276" w:lineRule="auto"/>
            </w:pPr>
            <w:r>
              <w:rPr>
                <w:rFonts w:ascii="Calibri" w:hAnsi="Calibri" w:eastAsia="Calibri"/>
                <w:b w:val="0"/>
                <w:i w:val="0"/>
                <w:color w:val="222222"/>
                <w:sz w:val="18"/>
              </w:rPr>
              <w:t>TAT slashed from 21 days to 48 hours, offline mobile field apps</w:t>
            </w:r>
          </w:p>
        </w:tc>
        <w:tc>
          <w:tcPr>
            <w:tcW w:type="dxa" w:w="1701"/>
            <w:tcMar>
              <w:top w:w="120" w:type="dxa"/>
              <w:bottom w:w="120" w:type="dxa"/>
              <w:left w:w="160" w:type="dxa"/>
              <w:right w:w="160" w:type="dxa"/>
            </w:tcMar>
          </w:tcPr>
          <w:p>
            <w:pPr>
              <w:spacing w:after="40" w:line="276" w:lineRule="auto"/>
            </w:pPr>
            <w:r>
              <w:rPr>
                <w:rFonts w:ascii="Consolas" w:hAnsi="Consolas" w:eastAsia="Consolas"/>
                <w:b w:val="0"/>
                <w:i w:val="0"/>
                <w:color w:val="8B0000"/>
                <w:sz w:val="17"/>
              </w:rPr>
              <w:t>DOC-16</w:t>
            </w:r>
            <w:r>
              <w:rPr>
                <w:rFonts w:ascii="Calibri" w:hAnsi="Calibri" w:eastAsia="Calibri"/>
                <w:b w:val="0"/>
                <w:i w:val="0"/>
                <w:color w:val="222222"/>
                <w:sz w:val="18"/>
              </w:rPr>
              <w:t xml:space="preserve">, </w:t>
            </w:r>
            <w:r>
              <w:rPr>
                <w:rFonts w:ascii="Consolas" w:hAnsi="Consolas" w:eastAsia="Consolas"/>
                <w:b w:val="0"/>
                <w:i w:val="0"/>
                <w:color w:val="8B0000"/>
                <w:sz w:val="17"/>
              </w:rPr>
              <w:t>DOC-18</w:t>
            </w:r>
            <w:r>
              <w:rPr>
                <w:rFonts w:ascii="Calibri" w:hAnsi="Calibri" w:eastAsia="Calibri"/>
                <w:b w:val="0"/>
                <w:i w:val="0"/>
                <w:color w:val="222222"/>
                <w:sz w:val="18"/>
              </w:rPr>
              <w:t xml:space="preserve">, </w:t>
            </w:r>
            <w:r>
              <w:rPr>
                <w:rFonts w:ascii="Consolas" w:hAnsi="Consolas" w:eastAsia="Consolas"/>
                <w:b w:val="0"/>
                <w:i w:val="0"/>
                <w:color w:val="8B0000"/>
                <w:sz w:val="17"/>
              </w:rPr>
              <w:t>DOC-19</w:t>
            </w:r>
          </w:p>
        </w:tc>
      </w:tr>
      <w:tr>
        <w:trPr>
          <w:cantSplit/>
        </w:trPr>
        <w:tc>
          <w:tcPr>
            <w:tcW w:type="dxa" w:w="1417"/>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Head of Islamic Banking</w:t>
            </w:r>
          </w:p>
        </w:tc>
        <w:tc>
          <w:tcPr>
            <w:tcW w:type="dxa" w:w="1984"/>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Shariah compliance, asset growth, audit clearance</w:t>
            </w:r>
          </w:p>
        </w:tc>
        <w:tc>
          <w:tcPr>
            <w:tcW w:type="dxa" w:w="1984"/>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Theological non-compliance, mixed accounting ledgers</w:t>
            </w:r>
          </w:p>
        </w:tc>
        <w:tc>
          <w:tcPr>
            <w:tcW w:type="dxa" w:w="2551"/>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Native Murabaha/Ijara engines, dedicated charity funds, zero interest</w:t>
            </w:r>
          </w:p>
        </w:tc>
        <w:tc>
          <w:tcPr>
            <w:tcW w:type="dxa" w:w="1701"/>
            <w:shd w:fill="F0F2FB"/>
            <w:tcMar>
              <w:top w:w="120" w:type="dxa"/>
              <w:bottom w:w="120" w:type="dxa"/>
              <w:left w:w="160" w:type="dxa"/>
              <w:right w:w="160" w:type="dxa"/>
            </w:tcMar>
          </w:tcPr>
          <w:p>
            <w:pPr>
              <w:spacing w:after="40" w:line="276" w:lineRule="auto"/>
            </w:pPr>
            <w:r>
              <w:rPr>
                <w:rFonts w:ascii="Consolas" w:hAnsi="Consolas" w:eastAsia="Consolas"/>
                <w:b w:val="0"/>
                <w:i w:val="0"/>
                <w:color w:val="8B0000"/>
                <w:sz w:val="17"/>
              </w:rPr>
              <w:t>DOC-20</w:t>
            </w:r>
          </w:p>
        </w:tc>
      </w:tr>
      <w:tr>
        <w:trPr>
          <w:cantSplit/>
        </w:trPr>
        <w:tc>
          <w:tcPr>
            <w:tcW w:type="dxa" w:w="1417"/>
            <w:tcMar>
              <w:top w:w="120" w:type="dxa"/>
              <w:bottom w:w="120" w:type="dxa"/>
              <w:left w:w="160" w:type="dxa"/>
              <w:right w:w="160" w:type="dxa"/>
            </w:tcMar>
          </w:tcPr>
          <w:p>
            <w:pPr>
              <w:spacing w:after="40" w:line="276" w:lineRule="auto"/>
            </w:pPr>
            <w:r>
              <w:rPr>
                <w:rFonts w:ascii="Calibri" w:hAnsi="Calibri" w:eastAsia="Calibri"/>
                <w:b/>
                <w:i w:val="0"/>
                <w:color w:val="222222"/>
                <w:sz w:val="18"/>
              </w:rPr>
              <w:t>Head of ICC / CAMLCO</w:t>
            </w:r>
          </w:p>
        </w:tc>
        <w:tc>
          <w:tcPr>
            <w:tcW w:type="dxa" w:w="1984"/>
            <w:tcMar>
              <w:top w:w="120" w:type="dxa"/>
              <w:bottom w:w="120" w:type="dxa"/>
              <w:left w:w="160" w:type="dxa"/>
              <w:right w:w="160" w:type="dxa"/>
            </w:tcMar>
          </w:tcPr>
          <w:p>
            <w:pPr>
              <w:spacing w:after="40" w:line="276" w:lineRule="auto"/>
            </w:pPr>
            <w:r>
              <w:rPr>
                <w:rFonts w:ascii="Calibri" w:hAnsi="Calibri" w:eastAsia="Calibri"/>
                <w:b w:val="0"/>
                <w:i w:val="0"/>
                <w:color w:val="222222"/>
                <w:sz w:val="18"/>
              </w:rPr>
              <w:t>Audit trails, fraud detection, AML/KYC enforcement</w:t>
            </w:r>
          </w:p>
        </w:tc>
        <w:tc>
          <w:tcPr>
            <w:tcW w:type="dxa" w:w="1984"/>
            <w:tcMar>
              <w:top w:w="120" w:type="dxa"/>
              <w:bottom w:w="120" w:type="dxa"/>
              <w:left w:w="160" w:type="dxa"/>
              <w:right w:w="160" w:type="dxa"/>
            </w:tcMar>
          </w:tcPr>
          <w:p>
            <w:pPr>
              <w:spacing w:after="40" w:line="276" w:lineRule="auto"/>
            </w:pPr>
            <w:r>
              <w:rPr>
                <w:rFonts w:ascii="Calibri" w:hAnsi="Calibri" w:eastAsia="Calibri"/>
                <w:b w:val="0"/>
                <w:i w:val="0"/>
                <w:color w:val="222222"/>
                <w:sz w:val="18"/>
              </w:rPr>
              <w:t>Central bank sanctions, money laundering breaches</w:t>
            </w:r>
          </w:p>
        </w:tc>
        <w:tc>
          <w:tcPr>
            <w:tcW w:type="dxa" w:w="2551"/>
            <w:tcMar>
              <w:top w:w="120" w:type="dxa"/>
              <w:bottom w:w="120" w:type="dxa"/>
              <w:left w:w="160" w:type="dxa"/>
              <w:right w:w="160" w:type="dxa"/>
            </w:tcMar>
          </w:tcPr>
          <w:p>
            <w:pPr>
              <w:spacing w:after="40" w:line="276" w:lineRule="auto"/>
            </w:pPr>
            <w:r>
              <w:rPr>
                <w:rFonts w:ascii="Calibri" w:hAnsi="Calibri" w:eastAsia="Calibri"/>
                <w:b w:val="0"/>
                <w:i w:val="0"/>
                <w:color w:val="222222"/>
                <w:sz w:val="18"/>
              </w:rPr>
              <w:t>Tamper-evident logs, four-eye maker-checker, BFIU e-KYC</w:t>
            </w:r>
          </w:p>
        </w:tc>
        <w:tc>
          <w:tcPr>
            <w:tcW w:type="dxa" w:w="1701"/>
            <w:tcMar>
              <w:top w:w="120" w:type="dxa"/>
              <w:bottom w:w="120" w:type="dxa"/>
              <w:left w:w="160" w:type="dxa"/>
              <w:right w:w="160" w:type="dxa"/>
            </w:tcMar>
          </w:tcPr>
          <w:p>
            <w:pPr>
              <w:spacing w:after="40" w:line="276" w:lineRule="auto"/>
            </w:pPr>
            <w:r>
              <w:rPr>
                <w:rFonts w:ascii="Consolas" w:hAnsi="Consolas" w:eastAsia="Consolas"/>
                <w:b w:val="0"/>
                <w:i w:val="0"/>
                <w:color w:val="8B0000"/>
                <w:sz w:val="17"/>
              </w:rPr>
              <w:t>DOC-28</w:t>
            </w:r>
            <w:r>
              <w:rPr>
                <w:rFonts w:ascii="Calibri" w:hAnsi="Calibri" w:eastAsia="Calibri"/>
                <w:b w:val="0"/>
                <w:i w:val="0"/>
                <w:color w:val="222222"/>
                <w:sz w:val="18"/>
              </w:rPr>
              <w:t xml:space="preserve">, </w:t>
            </w:r>
            <w:r>
              <w:rPr>
                <w:rFonts w:ascii="Consolas" w:hAnsi="Consolas" w:eastAsia="Consolas"/>
                <w:b w:val="0"/>
                <w:i w:val="0"/>
                <w:color w:val="8B0000"/>
                <w:sz w:val="17"/>
              </w:rPr>
              <w:t>DOC-38</w:t>
            </w:r>
          </w:p>
        </w:tc>
      </w:tr>
      <w:tr>
        <w:trPr>
          <w:cantSplit/>
        </w:trPr>
        <w:tc>
          <w:tcPr>
            <w:tcW w:type="dxa" w:w="1417"/>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Head of Procurement</w:t>
            </w:r>
          </w:p>
        </w:tc>
        <w:tc>
          <w:tcPr>
            <w:tcW w:type="dxa" w:w="1984"/>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Lowest evaluated tender price, PPR 2008 compliance</w:t>
            </w:r>
          </w:p>
        </w:tc>
        <w:tc>
          <w:tcPr>
            <w:tcW w:type="dxa" w:w="1984"/>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Audit objections, vendor insolvency, legal disputes</w:t>
            </w:r>
          </w:p>
        </w:tc>
        <w:tc>
          <w:tcPr>
            <w:tcW w:type="dxa" w:w="2551"/>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Airtight two-envelope bids, audited financial track record</w:t>
            </w:r>
          </w:p>
        </w:tc>
        <w:tc>
          <w:tcPr>
            <w:tcW w:type="dxa" w:w="1701"/>
            <w:shd w:fill="F0F2FB"/>
            <w:tcMar>
              <w:top w:w="120" w:type="dxa"/>
              <w:bottom w:w="120" w:type="dxa"/>
              <w:left w:w="160" w:type="dxa"/>
              <w:right w:w="160" w:type="dxa"/>
            </w:tcMar>
          </w:tcPr>
          <w:p>
            <w:pPr>
              <w:spacing w:after="40" w:line="276" w:lineRule="auto"/>
            </w:pPr>
            <w:r>
              <w:rPr>
                <w:rFonts w:ascii="Consolas" w:hAnsi="Consolas" w:eastAsia="Consolas"/>
                <w:b w:val="0"/>
                <w:i w:val="0"/>
                <w:color w:val="8B0000"/>
                <w:sz w:val="17"/>
              </w:rPr>
              <w:t>DOC-23</w:t>
            </w:r>
            <w:r>
              <w:rPr>
                <w:rFonts w:ascii="Calibri" w:hAnsi="Calibri" w:eastAsia="Calibri"/>
                <w:b w:val="0"/>
                <w:i w:val="0"/>
                <w:color w:val="222222"/>
                <w:sz w:val="18"/>
              </w:rPr>
              <w:t xml:space="preserve">, </w:t>
            </w:r>
            <w:r>
              <w:rPr>
                <w:rFonts w:ascii="Consolas" w:hAnsi="Consolas" w:eastAsia="Consolas"/>
                <w:b w:val="0"/>
                <w:i w:val="0"/>
                <w:color w:val="8B0000"/>
                <w:sz w:val="17"/>
              </w:rPr>
              <w:t>DOC-24</w:t>
            </w:r>
            <w:r>
              <w:rPr>
                <w:rFonts w:ascii="Calibri" w:hAnsi="Calibri" w:eastAsia="Calibri"/>
                <w:b w:val="0"/>
                <w:i w:val="0"/>
                <w:color w:val="222222"/>
                <w:sz w:val="18"/>
              </w:rPr>
              <w:t xml:space="preserve">, </w:t>
            </w:r>
            <w:r>
              <w:rPr>
                <w:rFonts w:ascii="Consolas" w:hAnsi="Consolas" w:eastAsia="Consolas"/>
                <w:b w:val="0"/>
                <w:i w:val="0"/>
                <w:color w:val="8B0000"/>
                <w:sz w:val="17"/>
              </w:rPr>
              <w:t>DOC-25</w:t>
            </w:r>
            <w:r>
              <w:rPr>
                <w:rFonts w:ascii="Calibri" w:hAnsi="Calibri" w:eastAsia="Calibri"/>
                <w:b w:val="0"/>
                <w:i w:val="0"/>
                <w:color w:val="222222"/>
                <w:sz w:val="18"/>
              </w:rPr>
              <w:t xml:space="preserve">, </w:t>
            </w:r>
            <w:r>
              <w:rPr>
                <w:rFonts w:ascii="Consolas" w:hAnsi="Consolas" w:eastAsia="Consolas"/>
                <w:b w:val="0"/>
                <w:i w:val="0"/>
                <w:color w:val="8B0000"/>
                <w:sz w:val="17"/>
              </w:rPr>
              <w:t>DOC-26</w:t>
            </w:r>
          </w:p>
        </w:tc>
      </w:tr>
    </w:tbl>
    <w:p>
      <w:pPr>
        <w:spacing w:after="80"/>
      </w:pPr>
    </w:p>
    <w:p>
      <w:pPr>
        <w:pStyle w:val="Heading3"/>
        <w:keepNext/>
      </w:pPr>
      <w:r>
        <w:t>6.2 Bangladesh Banking Procurement (QCBS) Win Strategy</w:t>
      </w:r>
    </w:p>
    <w:p>
      <w:pPr>
        <w:spacing w:after="80" w:line="276" w:lineRule="auto"/>
      </w:pPr>
      <w:r>
        <w:rPr>
          <w:rFonts w:ascii="Calibri" w:hAnsi="Calibri" w:eastAsia="Calibri"/>
          <w:b w:val="0"/>
          <w:i w:val="0"/>
          <w:color w:val="222222"/>
          <w:sz w:val="19"/>
        </w:rPr>
        <w:t>In institutional bank procurements governed by Quality and Cost Based Selection (QCBS):</w:t>
      </w:r>
    </w:p>
    <w:tbl>
      <w:tblPr>
        <w:tblW w:type="auto" w:w="0"/>
        <w:jc w:val="center"/>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638"/>
      </w:tblGrid>
      <w:tr>
        <w:tc>
          <w:tcPr>
            <w:tcW w:type="dxa" w:w="9638"/>
            <w:shd w:fill="F6F8FA"/>
            <w:tcMar>
              <w:top w:w="120" w:type="dxa"/>
              <w:bottom w:w="120" w:type="dxa"/>
              <w:left w:w="160" w:type="dxa"/>
              <w:right w:w="160" w:type="dxa"/>
            </w:tcMar>
          </w:tcPr>
          <w:p>
            <w:pPr>
              <w:spacing w:after="20" w:line="252" w:lineRule="auto"/>
            </w:pPr>
            <w:r>
              <w:rPr>
                <w:rFonts w:ascii="Consolas" w:hAnsi="Consolas" w:eastAsia="Consolas"/>
                <w:b w:val="0"/>
                <w:i w:val="0"/>
                <w:color w:val="222222"/>
                <w:sz w:val="17"/>
              </w:rPr>
              <w:t>Final Combined Score (S) = (Technical Score St × 0.70) + (Financial Score Sf × 0.30)</w:t>
            </w:r>
          </w:p>
        </w:tc>
      </w:tr>
    </w:tbl>
    <w:p>
      <w:pPr>
        <w:spacing w:after="80"/>
      </w:pPr>
    </w:p>
    <w:p>
      <w:pPr>
        <w:pStyle w:val="ListNumber"/>
        <w:spacing w:after="40" w:line="276" w:lineRule="auto"/>
      </w:pPr>
      <w:r>
        <w:rPr>
          <w:rFonts w:ascii="Calibri" w:hAnsi="Calibri" w:eastAsia="Calibri"/>
          <w:b/>
          <w:i w:val="0"/>
          <w:color w:val="222222"/>
          <w:sz w:val="19"/>
        </w:rPr>
        <w:t>Maximize Technical Score ($S_t &gt; 92/100$):</w:t>
      </w:r>
    </w:p>
    <w:p>
      <w:pPr>
        <w:pStyle w:val="ListBullet"/>
        <w:spacing w:after="40" w:line="276" w:lineRule="auto"/>
        <w:ind w:left="340"/>
      </w:pPr>
      <w:r>
        <w:rPr>
          <w:rFonts w:ascii="Calibri" w:hAnsi="Calibri" w:eastAsia="Calibri"/>
          <w:b w:val="0"/>
          <w:i w:val="0"/>
          <w:color w:val="222222"/>
          <w:sz w:val="19"/>
        </w:rPr>
        <w:t xml:space="preserve">Submit </w:t>
      </w:r>
      <w:r>
        <w:rPr>
          <w:rFonts w:ascii="Consolas" w:hAnsi="Consolas" w:eastAsia="Consolas"/>
          <w:b w:val="0"/>
          <w:i w:val="0"/>
          <w:color w:val="8B0000"/>
          <w:sz w:val="18"/>
        </w:rPr>
        <w:t>DOC-23</w:t>
      </w:r>
      <w:r>
        <w:rPr>
          <w:rFonts w:ascii="Calibri" w:hAnsi="Calibri" w:eastAsia="Calibri"/>
          <w:b w:val="0"/>
          <w:i w:val="0"/>
          <w:color w:val="222222"/>
          <w:sz w:val="19"/>
        </w:rPr>
        <w:t xml:space="preserve"> (Master Technical Proposal) with comprehensive CVs and institutional experience.</w:t>
      </w:r>
    </w:p>
    <w:p>
      <w:pPr>
        <w:pStyle w:val="ListBullet"/>
        <w:spacing w:after="40" w:line="276" w:lineRule="auto"/>
        <w:ind w:left="340"/>
      </w:pPr>
      <w:r>
        <w:rPr>
          <w:rFonts w:ascii="Calibri" w:hAnsi="Calibri" w:eastAsia="Calibri"/>
          <w:b w:val="0"/>
          <w:i w:val="0"/>
          <w:color w:val="222222"/>
          <w:sz w:val="19"/>
        </w:rPr>
        <w:t xml:space="preserve">Attach </w:t>
      </w:r>
      <w:r>
        <w:rPr>
          <w:rFonts w:ascii="Consolas" w:hAnsi="Consolas" w:eastAsia="Consolas"/>
          <w:b w:val="0"/>
          <w:i w:val="0"/>
          <w:color w:val="8B0000"/>
          <w:sz w:val="18"/>
        </w:rPr>
        <w:t>DOC-26</w:t>
      </w:r>
      <w:r>
        <w:rPr>
          <w:rFonts w:ascii="Calibri" w:hAnsi="Calibri" w:eastAsia="Calibri"/>
          <w:b w:val="0"/>
          <w:i w:val="0"/>
          <w:color w:val="222222"/>
          <w:sz w:val="19"/>
        </w:rPr>
        <w:t xml:space="preserve"> verifying 100% compliance across all 160+ functional points.</w:t>
      </w:r>
    </w:p>
    <w:p>
      <w:pPr>
        <w:pStyle w:val="ListBullet"/>
        <w:spacing w:after="40" w:line="276" w:lineRule="auto"/>
        <w:ind w:left="340"/>
      </w:pPr>
      <w:r>
        <w:rPr>
          <w:rFonts w:ascii="Calibri" w:hAnsi="Calibri" w:eastAsia="Calibri"/>
          <w:b w:val="0"/>
          <w:i w:val="0"/>
          <w:color w:val="222222"/>
          <w:sz w:val="19"/>
        </w:rPr>
        <w:t xml:space="preserve">Present </w:t>
      </w:r>
      <w:r>
        <w:rPr>
          <w:rFonts w:ascii="Consolas" w:hAnsi="Consolas" w:eastAsia="Consolas"/>
          <w:b w:val="0"/>
          <w:i w:val="0"/>
          <w:color w:val="8B0000"/>
          <w:sz w:val="18"/>
        </w:rPr>
        <w:t>DOC-27</w:t>
      </w:r>
      <w:r>
        <w:rPr>
          <w:rFonts w:ascii="Calibri" w:hAnsi="Calibri" w:eastAsia="Calibri"/>
          <w:b w:val="0"/>
          <w:i w:val="0"/>
          <w:color w:val="222222"/>
          <w:sz w:val="19"/>
        </w:rPr>
        <w:t xml:space="preserve"> and </w:t>
      </w:r>
      <w:r>
        <w:rPr>
          <w:rFonts w:ascii="Consolas" w:hAnsi="Consolas" w:eastAsia="Consolas"/>
          <w:b w:val="0"/>
          <w:i w:val="0"/>
          <w:color w:val="8B0000"/>
          <w:sz w:val="18"/>
        </w:rPr>
        <w:t>DOC-28</w:t>
      </w:r>
      <w:r>
        <w:rPr>
          <w:rFonts w:ascii="Calibri" w:hAnsi="Calibri" w:eastAsia="Calibri"/>
          <w:b w:val="0"/>
          <w:i w:val="0"/>
          <w:color w:val="222222"/>
          <w:sz w:val="19"/>
        </w:rPr>
        <w:t xml:space="preserve"> to achieve maximum points in architecture and security.</w:t>
      </w:r>
    </w:p>
    <w:p>
      <w:pPr>
        <w:pStyle w:val="ListNumber"/>
        <w:spacing w:after="40" w:line="276" w:lineRule="auto"/>
      </w:pPr>
      <w:r>
        <w:rPr>
          <w:rFonts w:ascii="Calibri" w:hAnsi="Calibri" w:eastAsia="Calibri"/>
          <w:b/>
          <w:i w:val="0"/>
          <w:color w:val="222222"/>
          <w:sz w:val="19"/>
        </w:rPr>
        <w:t>Win Financial Evaluation ($S_f = 100/100$):</w:t>
      </w:r>
    </w:p>
    <w:p>
      <w:pPr>
        <w:pStyle w:val="ListBullet"/>
        <w:spacing w:after="40" w:line="276" w:lineRule="auto"/>
        <w:ind w:left="340"/>
      </w:pPr>
      <w:r>
        <w:rPr>
          <w:rFonts w:ascii="Calibri" w:hAnsi="Calibri" w:eastAsia="Calibri"/>
          <w:b w:val="0"/>
          <w:i w:val="0"/>
          <w:color w:val="222222"/>
          <w:sz w:val="19"/>
        </w:rPr>
        <w:t>Foreign competitors routinely bid $2M–$5M USD (BDT ~24–60 Crore).</w:t>
      </w:r>
    </w:p>
    <w:p>
      <w:pPr>
        <w:pStyle w:val="ListBullet"/>
        <w:spacing w:after="40" w:line="276" w:lineRule="auto"/>
        <w:ind w:left="340"/>
      </w:pPr>
      <w:r>
        <w:rPr>
          <w:rFonts w:ascii="Calibri" w:hAnsi="Calibri" w:eastAsia="Calibri"/>
          <w:b w:val="0"/>
          <w:i w:val="0"/>
          <w:color w:val="222222"/>
          <w:sz w:val="19"/>
        </w:rPr>
        <w:t>ULMS bids at BDT 3–6 Crore, securing the lowest evaluated financial bid ($F_m$) and earning the maximum 100 financial points while retaining robust profit margins.</w:t>
      </w:r>
    </w:p>
    <w:p>
      <w:pPr>
        <w:pStyle w:val="ListNumber"/>
        <w:spacing w:after="40" w:line="276" w:lineRule="auto"/>
      </w:pPr>
      <w:r>
        <w:rPr>
          <w:rFonts w:ascii="Calibri" w:hAnsi="Calibri" w:eastAsia="Calibri"/>
          <w:b/>
          <w:i w:val="0"/>
          <w:color w:val="222222"/>
          <w:sz w:val="19"/>
        </w:rPr>
        <w:t>Achieve Unassailable Combined Victory:</w:t>
      </w:r>
    </w:p>
    <w:p>
      <w:pPr>
        <w:pStyle w:val="ListBullet"/>
        <w:spacing w:after="40" w:line="276" w:lineRule="auto"/>
        <w:ind w:left="340"/>
      </w:pPr>
      <w:r>
        <w:rPr>
          <w:rFonts w:ascii="Calibri" w:hAnsi="Calibri" w:eastAsia="Calibri"/>
          <w:b w:val="0"/>
          <w:i w:val="0"/>
          <w:color w:val="222222"/>
          <w:sz w:val="19"/>
        </w:rPr>
        <w:t>Combining a top-tier technical score with the maximum financial score makes ULMS mathematically unbeatable in competitive bidding.</w:t>
      </w:r>
    </w:p>
    <w:p>
      <w:pPr>
        <w:pStyle w:val="Heading2"/>
        <w:keepNext/>
      </w:pPr>
      <w:r>
        <w:t>7. Governance, Review Schedule &amp; Ownership</w:t>
      </w:r>
    </w:p>
    <w:p>
      <w:pPr>
        <w:spacing w:after="80" w:line="276" w:lineRule="auto"/>
      </w:pPr>
      <w:r>
        <w:rPr>
          <w:rFonts w:ascii="Calibri" w:hAnsi="Calibri" w:eastAsia="Calibri"/>
          <w:b w:val="0"/>
          <w:i w:val="0"/>
          <w:color w:val="222222"/>
          <w:sz w:val="19"/>
        </w:rPr>
        <w:t>Every business document specified in this catalog is an active commercial asset subject to regular maintenance:</w:t>
      </w:r>
    </w:p>
    <w:tbl>
      <w:tblPr>
        <w:tblStyle w:val="TableGrid"/>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Pr>
      <w:tblGrid>
        <w:gridCol w:w="2409"/>
        <w:gridCol w:w="2409"/>
        <w:gridCol w:w="2409"/>
        <w:gridCol w:w="2409"/>
      </w:tblGrid>
      <w:tr>
        <w:trPr>
          <w:tblHeader w:val="true"/>
          <w:cantSplit/>
        </w:trPr>
        <w:tc>
          <w:tcPr>
            <w:tcW w:type="dxa" w:w="1701"/>
            <w:shd w:fill="1E2660"/>
            <w:tcMar>
              <w:top w:w="140" w:type="dxa"/>
              <w:bottom w:w="140" w:type="dxa"/>
              <w:left w:w="180" w:type="dxa"/>
              <w:right w:w="180" w:type="dxa"/>
            </w:tcMar>
          </w:tcPr>
          <w:p>
            <w:pPr>
              <w:spacing w:after="40"/>
            </w:pPr>
            <w:r>
              <w:rPr>
                <w:rFonts w:ascii="Calibri" w:hAnsi="Calibri" w:eastAsia="Calibri"/>
                <w:b/>
                <w:i w:val="0"/>
                <w:color w:val="FFFFFF"/>
                <w:sz w:val="18"/>
              </w:rPr>
              <w:t>Category</w:t>
            </w:r>
          </w:p>
        </w:tc>
        <w:tc>
          <w:tcPr>
            <w:tcW w:type="dxa" w:w="1814"/>
            <w:shd w:fill="1E2660"/>
            <w:tcMar>
              <w:top w:w="140" w:type="dxa"/>
              <w:bottom w:w="140" w:type="dxa"/>
              <w:left w:w="180" w:type="dxa"/>
              <w:right w:w="180" w:type="dxa"/>
            </w:tcMar>
          </w:tcPr>
          <w:p>
            <w:pPr>
              <w:spacing w:after="40"/>
            </w:pPr>
            <w:r>
              <w:rPr>
                <w:rFonts w:ascii="Calibri" w:hAnsi="Calibri" w:eastAsia="Calibri"/>
                <w:b/>
                <w:i w:val="0"/>
                <w:color w:val="FFFFFF"/>
                <w:sz w:val="18"/>
              </w:rPr>
              <w:t>Primary Responsible Role</w:t>
            </w:r>
          </w:p>
        </w:tc>
        <w:tc>
          <w:tcPr>
            <w:tcW w:type="dxa" w:w="2438"/>
            <w:shd w:fill="1E2660"/>
            <w:tcMar>
              <w:top w:w="140" w:type="dxa"/>
              <w:bottom w:w="140" w:type="dxa"/>
              <w:left w:w="180" w:type="dxa"/>
              <w:right w:w="180" w:type="dxa"/>
            </w:tcMar>
          </w:tcPr>
          <w:p>
            <w:pPr>
              <w:spacing w:after="40"/>
            </w:pPr>
            <w:r>
              <w:rPr>
                <w:rFonts w:ascii="Calibri" w:hAnsi="Calibri" w:eastAsia="Calibri"/>
                <w:b/>
                <w:i w:val="0"/>
                <w:color w:val="FFFFFF"/>
                <w:sz w:val="18"/>
              </w:rPr>
              <w:t>Review Cadence</w:t>
            </w:r>
          </w:p>
        </w:tc>
        <w:tc>
          <w:tcPr>
            <w:tcW w:type="dxa" w:w="3685"/>
            <w:shd w:fill="1E2660"/>
            <w:tcMar>
              <w:top w:w="140" w:type="dxa"/>
              <w:bottom w:w="140" w:type="dxa"/>
              <w:left w:w="180" w:type="dxa"/>
              <w:right w:w="180" w:type="dxa"/>
            </w:tcMar>
          </w:tcPr>
          <w:p>
            <w:pPr>
              <w:spacing w:after="40"/>
            </w:pPr>
            <w:r>
              <w:rPr>
                <w:rFonts w:ascii="Calibri" w:hAnsi="Calibri" w:eastAsia="Calibri"/>
                <w:b/>
                <w:i w:val="0"/>
                <w:color w:val="FFFFFF"/>
                <w:sz w:val="18"/>
              </w:rPr>
              <w:t>Trigger for Immediate Out-of-Cycle Revision</w:t>
            </w:r>
          </w:p>
        </w:tc>
      </w:tr>
      <w:tr>
        <w:trPr>
          <w:cantSplit/>
        </w:trPr>
        <w:tc>
          <w:tcPr>
            <w:tcW w:type="dxa" w:w="1701"/>
            <w:tcMar>
              <w:top w:w="120" w:type="dxa"/>
              <w:bottom w:w="120" w:type="dxa"/>
              <w:left w:w="160" w:type="dxa"/>
              <w:right w:w="160" w:type="dxa"/>
            </w:tcMar>
          </w:tcPr>
          <w:p>
            <w:pPr>
              <w:spacing w:after="40" w:line="276" w:lineRule="auto"/>
            </w:pPr>
            <w:r>
              <w:rPr>
                <w:rFonts w:ascii="Calibri" w:hAnsi="Calibri" w:eastAsia="Calibri"/>
                <w:b/>
                <w:i w:val="0"/>
                <w:color w:val="222222"/>
                <w:sz w:val="18"/>
              </w:rPr>
              <w:t>CAT-01: Strategic Marketing</w:t>
            </w:r>
          </w:p>
        </w:tc>
        <w:tc>
          <w:tcPr>
            <w:tcW w:type="dxa" w:w="1814"/>
            <w:tcMar>
              <w:top w:w="120" w:type="dxa"/>
              <w:bottom w:w="120" w:type="dxa"/>
              <w:left w:w="160" w:type="dxa"/>
              <w:right w:w="160" w:type="dxa"/>
            </w:tcMar>
          </w:tcPr>
          <w:p>
            <w:pPr>
              <w:spacing w:after="40" w:line="276" w:lineRule="auto"/>
            </w:pPr>
            <w:r>
              <w:rPr>
                <w:rFonts w:ascii="Calibri" w:hAnsi="Calibri" w:eastAsia="Calibri"/>
                <w:b w:val="0"/>
                <w:i w:val="0"/>
                <w:color w:val="222222"/>
                <w:sz w:val="18"/>
              </w:rPr>
              <w:t>Lead Product Marketer</w:t>
            </w:r>
          </w:p>
        </w:tc>
        <w:tc>
          <w:tcPr>
            <w:tcW w:type="dxa" w:w="2438"/>
            <w:tcMar>
              <w:top w:w="120" w:type="dxa"/>
              <w:bottom w:w="120" w:type="dxa"/>
              <w:left w:w="160" w:type="dxa"/>
              <w:right w:w="160" w:type="dxa"/>
            </w:tcMar>
          </w:tcPr>
          <w:p>
            <w:pPr>
              <w:spacing w:after="40" w:line="276" w:lineRule="auto"/>
            </w:pPr>
            <w:r>
              <w:rPr>
                <w:rFonts w:ascii="Calibri" w:hAnsi="Calibri" w:eastAsia="Calibri"/>
                <w:b w:val="0"/>
                <w:i w:val="0"/>
                <w:color w:val="222222"/>
                <w:sz w:val="18"/>
              </w:rPr>
              <w:t>Quarterly</w:t>
            </w:r>
          </w:p>
        </w:tc>
        <w:tc>
          <w:tcPr>
            <w:tcW w:type="dxa" w:w="3685"/>
            <w:tcMar>
              <w:top w:w="120" w:type="dxa"/>
              <w:bottom w:w="120" w:type="dxa"/>
              <w:left w:w="160" w:type="dxa"/>
              <w:right w:w="160" w:type="dxa"/>
            </w:tcMar>
          </w:tcPr>
          <w:p>
            <w:pPr>
              <w:spacing w:after="40" w:line="276" w:lineRule="auto"/>
            </w:pPr>
            <w:r>
              <w:rPr>
                <w:rFonts w:ascii="Calibri" w:hAnsi="Calibri" w:eastAsia="Calibri"/>
                <w:b w:val="0"/>
                <w:i w:val="0"/>
                <w:color w:val="222222"/>
                <w:sz w:val="18"/>
              </w:rPr>
              <w:t>Major product release, new corporate milestone, client case study</w:t>
            </w:r>
          </w:p>
        </w:tc>
      </w:tr>
      <w:tr>
        <w:trPr>
          <w:cantSplit/>
        </w:trPr>
        <w:tc>
          <w:tcPr>
            <w:tcW w:type="dxa" w:w="1701"/>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CAT-02: Sales Enablement</w:t>
            </w:r>
          </w:p>
        </w:tc>
        <w:tc>
          <w:tcPr>
            <w:tcW w:type="dxa" w:w="1814"/>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Head of Business Development</w:t>
            </w:r>
          </w:p>
        </w:tc>
        <w:tc>
          <w:tcPr>
            <w:tcW w:type="dxa" w:w="2438"/>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Monthly</w:t>
            </w:r>
          </w:p>
        </w:tc>
        <w:tc>
          <w:tcPr>
            <w:tcW w:type="dxa" w:w="3685"/>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New competitor tactics, lost deal post-mortem, new sales hire onboarding</w:t>
            </w:r>
          </w:p>
        </w:tc>
      </w:tr>
      <w:tr>
        <w:trPr>
          <w:cantSplit/>
        </w:trPr>
        <w:tc>
          <w:tcPr>
            <w:tcW w:type="dxa" w:w="1701"/>
            <w:tcMar>
              <w:top w:w="120" w:type="dxa"/>
              <w:bottom w:w="120" w:type="dxa"/>
              <w:left w:w="160" w:type="dxa"/>
              <w:right w:w="160" w:type="dxa"/>
            </w:tcMar>
          </w:tcPr>
          <w:p>
            <w:pPr>
              <w:spacing w:after="40" w:line="276" w:lineRule="auto"/>
            </w:pPr>
            <w:r>
              <w:rPr>
                <w:rFonts w:ascii="Calibri" w:hAnsi="Calibri" w:eastAsia="Calibri"/>
                <w:b/>
                <w:i w:val="0"/>
                <w:color w:val="222222"/>
                <w:sz w:val="18"/>
              </w:rPr>
              <w:t>CAT-03: Demos &amp; Solutions</w:t>
            </w:r>
          </w:p>
        </w:tc>
        <w:tc>
          <w:tcPr>
            <w:tcW w:type="dxa" w:w="1814"/>
            <w:tcMar>
              <w:top w:w="120" w:type="dxa"/>
              <w:bottom w:w="120" w:type="dxa"/>
              <w:left w:w="160" w:type="dxa"/>
              <w:right w:w="160" w:type="dxa"/>
            </w:tcMar>
          </w:tcPr>
          <w:p>
            <w:pPr>
              <w:spacing w:after="40" w:line="276" w:lineRule="auto"/>
            </w:pPr>
            <w:r>
              <w:rPr>
                <w:rFonts w:ascii="Calibri" w:hAnsi="Calibri" w:eastAsia="Calibri"/>
                <w:b w:val="0"/>
                <w:i w:val="0"/>
                <w:color w:val="222222"/>
                <w:sz w:val="18"/>
              </w:rPr>
              <w:t>Lead Solution Architect</w:t>
            </w:r>
          </w:p>
        </w:tc>
        <w:tc>
          <w:tcPr>
            <w:tcW w:type="dxa" w:w="2438"/>
            <w:tcMar>
              <w:top w:w="120" w:type="dxa"/>
              <w:bottom w:w="120" w:type="dxa"/>
              <w:left w:w="160" w:type="dxa"/>
              <w:right w:w="160" w:type="dxa"/>
            </w:tcMar>
          </w:tcPr>
          <w:p>
            <w:pPr>
              <w:spacing w:after="40" w:line="276" w:lineRule="auto"/>
            </w:pPr>
            <w:r>
              <w:rPr>
                <w:rFonts w:ascii="Calibri" w:hAnsi="Calibri" w:eastAsia="Calibri"/>
                <w:b w:val="0"/>
                <w:i w:val="0"/>
                <w:color w:val="222222"/>
                <w:sz w:val="18"/>
              </w:rPr>
              <w:t>Quarterly</w:t>
            </w:r>
          </w:p>
        </w:tc>
        <w:tc>
          <w:tcPr>
            <w:tcW w:type="dxa" w:w="3685"/>
            <w:tcMar>
              <w:top w:w="120" w:type="dxa"/>
              <w:bottom w:w="120" w:type="dxa"/>
              <w:left w:w="160" w:type="dxa"/>
              <w:right w:w="160" w:type="dxa"/>
            </w:tcMar>
          </w:tcPr>
          <w:p>
            <w:pPr>
              <w:spacing w:after="40" w:line="276" w:lineRule="auto"/>
            </w:pPr>
            <w:r>
              <w:rPr>
                <w:rFonts w:ascii="Calibri" w:hAnsi="Calibri" w:eastAsia="Calibri"/>
                <w:b w:val="0"/>
                <w:i w:val="0"/>
                <w:color w:val="222222"/>
                <w:sz w:val="18"/>
              </w:rPr>
              <w:t>New module rollout, UI screen redesign, new credit product launch</w:t>
            </w:r>
          </w:p>
        </w:tc>
      </w:tr>
      <w:tr>
        <w:trPr>
          <w:cantSplit/>
        </w:trPr>
        <w:tc>
          <w:tcPr>
            <w:tcW w:type="dxa" w:w="1701"/>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CAT-04: RFP &amp; Tender Library</w:t>
            </w:r>
          </w:p>
        </w:tc>
        <w:tc>
          <w:tcPr>
            <w:tcW w:type="dxa" w:w="1814"/>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Head of Bid Management</w:t>
            </w:r>
          </w:p>
        </w:tc>
        <w:tc>
          <w:tcPr>
            <w:tcW w:type="dxa" w:w="2438"/>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Continuous</w:t>
            </w:r>
          </w:p>
        </w:tc>
        <w:tc>
          <w:tcPr>
            <w:tcW w:type="dxa" w:w="3685"/>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Following every submitted tender based on evaluation feedback</w:t>
            </w:r>
          </w:p>
        </w:tc>
      </w:tr>
      <w:tr>
        <w:trPr>
          <w:cantSplit/>
        </w:trPr>
        <w:tc>
          <w:tcPr>
            <w:tcW w:type="dxa" w:w="1701"/>
            <w:tcMar>
              <w:top w:w="120" w:type="dxa"/>
              <w:bottom w:w="120" w:type="dxa"/>
              <w:left w:w="160" w:type="dxa"/>
              <w:right w:w="160" w:type="dxa"/>
            </w:tcMar>
          </w:tcPr>
          <w:p>
            <w:pPr>
              <w:spacing w:after="40" w:line="276" w:lineRule="auto"/>
            </w:pPr>
            <w:r>
              <w:rPr>
                <w:rFonts w:ascii="Calibri" w:hAnsi="Calibri" w:eastAsia="Calibri"/>
                <w:b/>
                <w:i w:val="0"/>
                <w:color w:val="222222"/>
                <w:sz w:val="18"/>
              </w:rPr>
              <w:t>CAT-05: Commercial &amp; Pricing</w:t>
            </w:r>
          </w:p>
        </w:tc>
        <w:tc>
          <w:tcPr>
            <w:tcW w:type="dxa" w:w="1814"/>
            <w:tcMar>
              <w:top w:w="120" w:type="dxa"/>
              <w:bottom w:w="120" w:type="dxa"/>
              <w:left w:w="160" w:type="dxa"/>
              <w:right w:w="160" w:type="dxa"/>
            </w:tcMar>
          </w:tcPr>
          <w:p>
            <w:pPr>
              <w:spacing w:after="40" w:line="276" w:lineRule="auto"/>
            </w:pPr>
            <w:r>
              <w:rPr>
                <w:rFonts w:ascii="Calibri" w:hAnsi="Calibri" w:eastAsia="Calibri"/>
                <w:b w:val="0"/>
                <w:i w:val="0"/>
                <w:color w:val="222222"/>
                <w:sz w:val="18"/>
              </w:rPr>
              <w:t>Chief Commercial Officer</w:t>
            </w:r>
          </w:p>
        </w:tc>
        <w:tc>
          <w:tcPr>
            <w:tcW w:type="dxa" w:w="2438"/>
            <w:tcMar>
              <w:top w:w="120" w:type="dxa"/>
              <w:bottom w:w="120" w:type="dxa"/>
              <w:left w:w="160" w:type="dxa"/>
              <w:right w:w="160" w:type="dxa"/>
            </w:tcMar>
          </w:tcPr>
          <w:p>
            <w:pPr>
              <w:spacing w:after="40" w:line="276" w:lineRule="auto"/>
            </w:pPr>
            <w:r>
              <w:rPr>
                <w:rFonts w:ascii="Calibri" w:hAnsi="Calibri" w:eastAsia="Calibri"/>
                <w:b w:val="0"/>
                <w:i w:val="0"/>
                <w:color w:val="222222"/>
                <w:sz w:val="18"/>
              </w:rPr>
              <w:t>Semi-Annual</w:t>
            </w:r>
          </w:p>
        </w:tc>
        <w:tc>
          <w:tcPr>
            <w:tcW w:type="dxa" w:w="3685"/>
            <w:tcMar>
              <w:top w:w="120" w:type="dxa"/>
              <w:bottom w:w="120" w:type="dxa"/>
              <w:left w:w="160" w:type="dxa"/>
              <w:right w:w="160" w:type="dxa"/>
            </w:tcMar>
          </w:tcPr>
          <w:p>
            <w:pPr>
              <w:spacing w:after="40" w:line="276" w:lineRule="auto"/>
            </w:pPr>
            <w:r>
              <w:rPr>
                <w:rFonts w:ascii="Calibri" w:hAnsi="Calibri" w:eastAsia="Calibri"/>
                <w:b w:val="0"/>
                <w:i w:val="0"/>
                <w:color w:val="222222"/>
                <w:sz w:val="18"/>
              </w:rPr>
              <w:t>Annual inflation adjustments, new license edition introduction</w:t>
            </w:r>
          </w:p>
        </w:tc>
      </w:tr>
      <w:tr>
        <w:trPr>
          <w:cantSplit/>
        </w:trPr>
        <w:tc>
          <w:tcPr>
            <w:tcW w:type="dxa" w:w="1701"/>
            <w:shd w:fill="F0F2FB"/>
            <w:tcMar>
              <w:top w:w="120" w:type="dxa"/>
              <w:bottom w:w="120" w:type="dxa"/>
              <w:left w:w="160" w:type="dxa"/>
              <w:right w:w="160" w:type="dxa"/>
            </w:tcMar>
          </w:tcPr>
          <w:p>
            <w:pPr>
              <w:spacing w:after="40" w:line="276" w:lineRule="auto"/>
            </w:pPr>
            <w:r>
              <w:rPr>
                <w:rFonts w:ascii="Calibri" w:hAnsi="Calibri" w:eastAsia="Calibri"/>
                <w:b/>
                <w:i w:val="0"/>
                <w:color w:val="222222"/>
                <w:sz w:val="18"/>
              </w:rPr>
              <w:t>CAT-06: Regulatory Whitepapers</w:t>
            </w:r>
          </w:p>
        </w:tc>
        <w:tc>
          <w:tcPr>
            <w:tcW w:type="dxa" w:w="1814"/>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Regulatory Compliance Lead</w:t>
            </w:r>
          </w:p>
        </w:tc>
        <w:tc>
          <w:tcPr>
            <w:tcW w:type="dxa" w:w="2438"/>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Immediate</w:t>
            </w:r>
          </w:p>
        </w:tc>
        <w:tc>
          <w:tcPr>
            <w:tcW w:type="dxa" w:w="3685"/>
            <w:shd w:fill="F0F2FB"/>
            <w:tcMar>
              <w:top w:w="120" w:type="dxa"/>
              <w:bottom w:w="120" w:type="dxa"/>
              <w:left w:w="160" w:type="dxa"/>
              <w:right w:w="160" w:type="dxa"/>
            </w:tcMar>
          </w:tcPr>
          <w:p>
            <w:pPr>
              <w:spacing w:after="40" w:line="276" w:lineRule="auto"/>
            </w:pPr>
            <w:r>
              <w:rPr>
                <w:rFonts w:ascii="Calibri" w:hAnsi="Calibri" w:eastAsia="Calibri"/>
                <w:b w:val="0"/>
                <w:i w:val="0"/>
                <w:color w:val="222222"/>
                <w:sz w:val="18"/>
              </w:rPr>
              <w:t>Any new circular or guideline issued by Bangladesh Bank or BFIU</w:t>
            </w:r>
          </w:p>
        </w:tc>
      </w:tr>
      <w:tr>
        <w:trPr>
          <w:cantSplit/>
        </w:trPr>
        <w:tc>
          <w:tcPr>
            <w:tcW w:type="dxa" w:w="1701"/>
            <w:tcMar>
              <w:top w:w="120" w:type="dxa"/>
              <w:bottom w:w="120" w:type="dxa"/>
              <w:left w:w="160" w:type="dxa"/>
              <w:right w:w="160" w:type="dxa"/>
            </w:tcMar>
          </w:tcPr>
          <w:p>
            <w:pPr>
              <w:spacing w:after="40" w:line="276" w:lineRule="auto"/>
            </w:pPr>
            <w:r>
              <w:rPr>
                <w:rFonts w:ascii="Calibri" w:hAnsi="Calibri" w:eastAsia="Calibri"/>
                <w:b/>
                <w:i w:val="0"/>
                <w:color w:val="222222"/>
                <w:sz w:val="18"/>
              </w:rPr>
              <w:t>CAT-07: PoC &amp; Contracting</w:t>
            </w:r>
          </w:p>
        </w:tc>
        <w:tc>
          <w:tcPr>
            <w:tcW w:type="dxa" w:w="1814"/>
            <w:tcMar>
              <w:top w:w="120" w:type="dxa"/>
              <w:bottom w:w="120" w:type="dxa"/>
              <w:left w:w="160" w:type="dxa"/>
              <w:right w:w="160" w:type="dxa"/>
            </w:tcMar>
          </w:tcPr>
          <w:p>
            <w:pPr>
              <w:spacing w:after="40" w:line="276" w:lineRule="auto"/>
            </w:pPr>
            <w:r>
              <w:rPr>
                <w:rFonts w:ascii="Calibri" w:hAnsi="Calibri" w:eastAsia="Calibri"/>
                <w:b w:val="0"/>
                <w:i w:val="0"/>
                <w:color w:val="222222"/>
                <w:sz w:val="18"/>
              </w:rPr>
              <w:t>Chief Legal Counsel</w:t>
            </w:r>
          </w:p>
        </w:tc>
        <w:tc>
          <w:tcPr>
            <w:tcW w:type="dxa" w:w="2438"/>
            <w:tcMar>
              <w:top w:w="120" w:type="dxa"/>
              <w:bottom w:w="120" w:type="dxa"/>
              <w:left w:w="160" w:type="dxa"/>
              <w:right w:w="160" w:type="dxa"/>
            </w:tcMar>
          </w:tcPr>
          <w:p>
            <w:pPr>
              <w:spacing w:after="40" w:line="276" w:lineRule="auto"/>
            </w:pPr>
            <w:r>
              <w:rPr>
                <w:rFonts w:ascii="Calibri" w:hAnsi="Calibri" w:eastAsia="Calibri"/>
                <w:b w:val="0"/>
                <w:i w:val="0"/>
                <w:color w:val="222222"/>
                <w:sz w:val="18"/>
              </w:rPr>
              <w:t>Annual</w:t>
            </w:r>
          </w:p>
        </w:tc>
        <w:tc>
          <w:tcPr>
            <w:tcW w:type="dxa" w:w="3685"/>
            <w:tcMar>
              <w:top w:w="120" w:type="dxa"/>
              <w:bottom w:w="120" w:type="dxa"/>
              <w:left w:w="160" w:type="dxa"/>
              <w:right w:w="160" w:type="dxa"/>
            </w:tcMar>
          </w:tcPr>
          <w:p>
            <w:pPr>
              <w:spacing w:after="40" w:line="276" w:lineRule="auto"/>
            </w:pPr>
            <w:r>
              <w:rPr>
                <w:rFonts w:ascii="Calibri" w:hAnsi="Calibri" w:eastAsia="Calibri"/>
                <w:b w:val="0"/>
                <w:i w:val="0"/>
                <w:color w:val="222222"/>
                <w:sz w:val="18"/>
              </w:rPr>
              <w:t>Statutory legal or tax code changes, contract dispute resolution</w:t>
            </w:r>
          </w:p>
        </w:tc>
      </w:tr>
    </w:tbl>
    <w:p>
      <w:pPr>
        <w:spacing w:after="80"/>
      </w:pPr>
    </w:p>
    <w:p>
      <w:pPr>
        <w:pStyle w:val="Heading2"/>
        <w:keepNext/>
      </w:pPr>
      <w:r>
        <w:t>8. Summary of Document Generation Plan</w:t>
      </w:r>
    </w:p>
    <w:p>
      <w:pPr>
        <w:spacing w:after="80" w:line="276" w:lineRule="auto"/>
      </w:pPr>
      <w:r>
        <w:rPr>
          <w:rFonts w:ascii="Calibri" w:hAnsi="Calibri" w:eastAsia="Calibri"/>
          <w:b w:val="0"/>
          <w:i w:val="0"/>
          <w:color w:val="222222"/>
          <w:sz w:val="19"/>
        </w:rPr>
        <w:t xml:space="preserve">With this master architecture established, the physical directory structure and the corresponding 42 markdown documents shall be progressively authored, audited, and maintained within </w:t>
      </w:r>
      <w:r>
        <w:rPr>
          <w:rFonts w:ascii="Consolas" w:hAnsi="Consolas" w:eastAsia="Consolas"/>
          <w:b w:val="0"/>
          <w:i w:val="0"/>
          <w:color w:val="8B0000"/>
          <w:sz w:val="18"/>
        </w:rPr>
        <w:t>C:\software_project\mim_project\LMS\business_document\</w:t>
      </w:r>
      <w:r>
        <w:rPr>
          <w:rFonts w:ascii="Calibri" w:hAnsi="Calibri" w:eastAsia="Calibri"/>
          <w:b w:val="0"/>
          <w:i w:val="0"/>
          <w:color w:val="222222"/>
          <w:sz w:val="19"/>
        </w:rPr>
        <w:t>, transforming Unisoft's sales and marketing department into an unstoppable commercial force in the South Asian enterprise banking software market.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55555"/>
        <w:sz w:val="16"/>
      </w:rPr>
      <w:t xml:space="preserve">Unisoft Systems Limited · Strictly Confidential · Page </w:t>
    </w:r>
    <w:fldSimple w:instr="PAGE"/>
    <w:r>
      <w:rPr>
        <w:rFonts w:ascii="Calibri" w:hAnsi="Calibri" w:eastAsia="Calibri"/>
        <w:b w:val="0"/>
        <w:i w:val="0"/>
        <w:color w:val="555555"/>
        <w:sz w:val="16"/>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val="0"/>
        <w:color w:val="555555"/>
        <w:sz w:val="16"/>
      </w:rPr>
      <w:t>Unisoft Loan Management System (ULMS v2.0) — ULMS v2.0 - Master Business Documentation Cat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eastAsia="Calibri"/>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Calibri"/>
      <w:b/>
      <w:bCs/>
      <w:color w:val="1E2660"/>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b/>
      <w:bCs/>
      <w:color w:val="1E2660"/>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eastAsia="Calibri"/>
      <w:b/>
      <w:bCs/>
      <w:color w:val="1E266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ULMS v2.0 - Master Business Documentation Catalog &amp; Sales Enablement Architecture</dc:title>
  <dc:subject/>
  <dc:creator>Unisoft Systems Limited</dc:creator>
  <cp:keywords/>
  <dc:description>A Subsidiary of Smart Technologies BD Ltd</dc:description>
  <cp:lastModifiedBy/>
  <cp:revision>1</cp:revision>
  <dcterms:created xsi:type="dcterms:W3CDTF">2013-12-23T23:15:00Z</dcterms:created>
  <dcterms:modified xsi:type="dcterms:W3CDTF">2013-12-23T23:15:00Z</dcterms:modified>
  <cp:category>Commercial Banking Documentation</cp:category>
</cp:coreProperties>
</file>