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DOC-01-ARCH-01: System Architecture Blueprint &amp; C4 Topology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DOC-01-ARCH-01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explanation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system_architecture_c4_blueprint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[executive, architect, developer, devops, 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DOC-01-ARCH-01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DOC-01-ARCH-01: System Architecture Blueprint &amp; C4 Topology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Authoritative C4 Model depicting core banking bridge, Fineract 1.12.x, PostgreSQL 17, and Keycloak 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0758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architectur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75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ULMS v2.0 Target Solution Architecture Blueprint &amp; System Context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Authoritative C4 Model depicting core banking bridge, Fineract 1.12.x, PostgreSQL 17, and Keycloak 26.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System Architecture Blueprint &amp; C4 Topology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Technical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Architecture Blueprint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Compliance_Validation_Matrix.md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Software_Requirements_Specification.md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LMS_CODEBASE/PLANNING/01_Architecture_Blueprint.md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Architecture Summary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Segoe UI" w:hAnsi="Segoe UI"/>
          <w:b/>
          <w:color w:val="2D3748"/>
          <w:sz w:val="19"/>
        </w:rPr>
        <w:t>Unisoft Loan Management System (ULMS v2.0)</w:t>
      </w:r>
      <w:r>
        <w:rPr>
          <w:rFonts w:ascii="Segoe UI" w:hAnsi="Segoe UI"/>
          <w:color w:val="2D3748"/>
          <w:sz w:val="19"/>
        </w:rPr>
        <w:t xml:space="preserve"> is an enterprise core lending and loan lifecycle automation platform purpose-built for the </w:t>
      </w:r>
      <w:r>
        <w:rPr>
          <w:rFonts w:ascii="Segoe UI" w:hAnsi="Segoe UI"/>
          <w:b/>
          <w:color w:val="2D3748"/>
          <w:sz w:val="19"/>
        </w:rPr>
        <w:t>62 scheduled commercial banks</w:t>
      </w:r>
      <w:r>
        <w:rPr>
          <w:rFonts w:ascii="Segoe UI" w:hAnsi="Segoe UI"/>
          <w:color w:val="2D3748"/>
          <w:sz w:val="19"/>
        </w:rPr>
        <w:t>, non-bank financial institutions (NBFIs), and microfinance institutions (MFIs) of Bangladesh.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architecture is designed to resolve the primary failure modes of legacy core banking loan modules: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Rigid Lending Products:</w:t>
      </w:r>
      <w:r>
        <w:rPr>
          <w:rFonts w:ascii="Segoe UI" w:hAnsi="Segoe UI"/>
          <w:color w:val="2D3748"/>
          <w:sz w:val="19"/>
        </w:rPr>
        <w:t xml:space="preserve"> Slow time-to-market for new Retail, SME, and Islamic financing products.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Regulatory Vulnerability:</w:t>
      </w:r>
      <w:r>
        <w:rPr>
          <w:rFonts w:ascii="Segoe UI" w:hAnsi="Segoe UI"/>
          <w:color w:val="2D3748"/>
          <w:sz w:val="19"/>
        </w:rPr>
        <w:t xml:space="preserve"> Failure to enforce strict Bangladesh Bank guidelines, including the 7-stage classification rules of </w:t>
      </w:r>
      <w:r>
        <w:rPr>
          <w:rFonts w:ascii="Segoe UI" w:hAnsi="Segoe UI"/>
          <w:b/>
          <w:color w:val="2D3748"/>
          <w:sz w:val="19"/>
        </w:rPr>
        <w:t>BRPD Circular 15/2024</w:t>
      </w:r>
      <w:r>
        <w:rPr>
          <w:rFonts w:ascii="Segoe UI" w:hAnsi="Segoe UI"/>
          <w:color w:val="2D3748"/>
          <w:sz w:val="19"/>
        </w:rPr>
        <w:t>, mandatory debt-burden ratio (DBR $\le 50\%$) caps, and IFRS-9 ECL staging.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Operational Silos:</w:t>
      </w:r>
      <w:r>
        <w:rPr>
          <w:rFonts w:ascii="Segoe UI" w:hAnsi="Segoe UI"/>
          <w:color w:val="2D3748"/>
          <w:sz w:val="19"/>
        </w:rPr>
        <w:t xml:space="preserve"> Fragmented verification across Bangladesh Bank CIB Online, Election Commission NIDW e-KYC, and physical verification.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Architectural Over-Engineering:</w:t>
      </w:r>
      <w:r>
        <w:rPr>
          <w:rFonts w:ascii="Segoe UI" w:hAnsi="Segoe UI"/>
          <w:color w:val="2D3748"/>
          <w:sz w:val="19"/>
        </w:rPr>
        <w:t xml:space="preserve"> Systems designed for 50-person platform engineering teams that collapse under 3-developer operational realities.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Key Architectural Invariants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Modular Monolith Core (ADR-001):</w:t>
      </w:r>
      <w:r>
        <w:rPr>
          <w:rFonts w:ascii="Segoe UI" w:hAnsi="Segoe UI"/>
          <w:color w:val="2D3748"/>
          <w:sz w:val="19"/>
        </w:rPr>
        <w:t xml:space="preserve"> Single Spring Boot 4 application on Java 21 LTS with code-enforced module boundaries via Spring Modulith.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Immutable Lending Ledger (ADR-002):</w:t>
      </w:r>
      <w:r>
        <w:rPr>
          <w:rFonts w:ascii="Segoe UI" w:hAnsi="Segoe UI"/>
          <w:color w:val="2D3748"/>
          <w:sz w:val="19"/>
        </w:rPr>
        <w:t xml:space="preserve"> Apache Fineract 1.12.x Community Edition operates as the underlying accounting engine accessed strictly via REST behind </w:t>
      </w:r>
      <w:r>
        <w:rPr>
          <w:rFonts w:ascii="Consolas" w:hAnsi="Consolas"/>
          <w:color w:val="801515"/>
          <w:sz w:val="18"/>
        </w:rPr>
        <w:t>FineractPort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Database-Backed Workflows (ADR-003):</w:t>
      </w:r>
      <w:r>
        <w:rPr>
          <w:rFonts w:ascii="Segoe UI" w:hAnsi="Segoe UI"/>
          <w:color w:val="2D3748"/>
          <w:sz w:val="19"/>
        </w:rPr>
        <w:t xml:space="preserve"> Zero external Camunda BPM licensing cost; approval ladders and state transitions run on PostgreSQL relational state with ShedLock SLA timers.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Transactional Outbox Messaging (ADR-004):</w:t>
      </w:r>
      <w:r>
        <w:rPr>
          <w:rFonts w:ascii="Segoe UI" w:hAnsi="Segoe UI"/>
          <w:color w:val="2D3748"/>
          <w:sz w:val="19"/>
        </w:rPr>
        <w:t xml:space="preserve"> Event rows committed within the same database transaction as domain entity updates; zero message loss without operating a day-one Kafka cluster.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Strict Minor-Units Currency Invariant:</w:t>
      </w:r>
      <w:r>
        <w:rPr>
          <w:rFonts w:ascii="Segoe UI" w:hAnsi="Segoe UI"/>
          <w:color w:val="2D3748"/>
          <w:sz w:val="19"/>
        </w:rPr>
        <w:t xml:space="preserve"> All financial values are stored and transferred as </w:t>
      </w:r>
      <w:r>
        <w:rPr>
          <w:rFonts w:ascii="Consolas" w:hAnsi="Consolas"/>
          <w:color w:val="801515"/>
          <w:sz w:val="18"/>
        </w:rPr>
        <w:t>BIGINT</w:t>
      </w:r>
      <w:r>
        <w:rPr>
          <w:rFonts w:ascii="Segoe UI" w:hAnsi="Segoe UI"/>
          <w:color w:val="2D3748"/>
          <w:sz w:val="19"/>
        </w:rPr>
        <w:t xml:space="preserve"> poisha ($1\text{ BDT} = 100\text{ poisha}$). IEEE 754 floating-point numbers are strictly forbidden in monetary calculations.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C4 Model Level 1: System Context Diagram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System Context diagram illustrates how ULMS v2.0 fits into the commercial banking ecosystem and interacts with internal bank staff, external borrowers, and national regulatory bodies.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Users ["Banking Personas &amp; Borrowers"]</w:t>
              <w:br/>
              <w:t xml:space="preserve">        BO["Branch Loan Officer&lt;br/&gt;(Origination &amp; KYC)"]</w:t>
              <w:br/>
              <w:t xml:space="preserve">        BM["Branch Manager &amp; Approvers&lt;br/&gt;(Ladder L1-L7)"]</w:t>
              <w:br/>
              <w:t xml:space="preserve">        CO["Collections Officer&lt;br/&gt;(DPD &amp; PTP Worklist)"]</w:t>
              <w:br/>
              <w:t xml:space="preserve">        COMP["Compliance Officer&lt;br/&gt;(BRPD 15/2024 &amp; Regcon)"]</w:t>
              <w:br/>
              <w:t xml:space="preserve">        BORROWER["Borrower / Customer&lt;br/&gt;(Web Portal &amp; Mobile)"]</w:t>
              <w:br/>
              <w:t xml:space="preserve">    end</w:t>
              <w:br/>
              <w:br/>
              <w:t xml:space="preserve">    subgraph ULMS_Core ["ULMS v2.0 Core Platform"]</w:t>
              <w:br/>
              <w:t xml:space="preserve">        ULMS["Unisoft Loan Management System&lt;br/&gt;(Modular Monolith + Fineract CE)"]</w:t>
              <w:br/>
              <w:t xml:space="preserve">    end</w:t>
              <w:br/>
              <w:br/>
              <w:t xml:space="preserve">    subgraph External_Systems ["National Infrastructure &amp; Core Banking"]</w:t>
              <w:br/>
              <w:t xml:space="preserve">        BB_CIB["Bangladesh Bank CIB&lt;br/&gt;(REST mTLS &amp; Monthly Batch)"]</w:t>
              <w:br/>
              <w:t xml:space="preserve">        EC_NIDW["Election Commission NIDW&lt;br/&gt;(e-KYC &amp; Porichoy Gateway)"]</w:t>
              <w:br/>
              <w:t xml:space="preserve">        BANK_CBS["Bank Core Banking System&lt;br/&gt;(T24 / Finacle / FLEXCUBE)"]</w:t>
              <w:br/>
              <w:t xml:space="preserve">        MFS_RAILS["Payment &amp; MFS Rails&lt;br/&gt;(bKash / Nagad / Rocket / NPSB)"]</w:t>
              <w:br/>
              <w:t xml:space="preserve">        SMS_GATEWAY["Bank SMS &amp; Notification Gateway&lt;br/&gt;(Twilio / Local Telco)"]</w:t>
              <w:br/>
              <w:t xml:space="preserve">        REGCON["Bangladesh Bank Regcon Portal&lt;br/&gt;(CL-1..5 &amp; SBS Uploads)"]</w:t>
              <w:br/>
              <w:t xml:space="preserve">    end</w:t>
              <w:br/>
              <w:br/>
              <w:t xml:space="preserve">    BO --&gt;|"Originates loans, uploads docs"| ULMS</w:t>
              <w:br/>
              <w:t xml:space="preserve">    BM --&gt;|"Approves via 7-level ladder"| ULMS</w:t>
              <w:br/>
              <w:t xml:space="preserve">    CO --&gt;|"Manages delinquent accounts"| ULMS</w:t>
              <w:br/>
              <w:t xml:space="preserve">    COMP --&gt;|"Triggers EOD &amp; Regcon returns"| ULMS</w:t>
              <w:br/>
              <w:t xml:space="preserve">    BORROWER --&gt;|"Views balance, initiates payments"| ULMS</w:t>
              <w:br/>
              <w:br/>
              <w:t xml:space="preserve">    ULMS --&gt;|"Pulls credit bureau records"| BB_CIB</w:t>
              <w:br/>
              <w:t xml:space="preserve">    ULMS --&gt;|"Verifies 13/17-digit NID"| EC_NIDW</w:t>
              <w:br/>
              <w:t xml:space="preserve">    ULMS --&gt;|"Synchronizes customer CIF &amp; GL"| BANK_CBS</w:t>
              <w:br/>
              <w:t xml:space="preserve">    ULMS --&gt;|"Processes repayments via HMAC webhooks"| MFS_RAILS</w:t>
              <w:br/>
              <w:t xml:space="preserve">    ULMS --&gt;|"Dispatches OTP &amp; notification alerts"| SMS_GATEWAY</w:t>
              <w:br/>
              <w:t xml:space="preserve">    ULMS --&gt;|"Exports WORM regulatory packages"| REGCON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C4 Model Level 2: Container Diagram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Container diagram details the high-level technical runtime components, storage engines, identity providers, and network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Client_Tier ["Client Tier"]</w:t>
              <w:br/>
              <w:t xml:space="preserve">        WEB["Staff Web Application&lt;br/&gt;&lt;b&gt;React 19 + MUI v7 + Vite 7&lt;/b&gt;&lt;br/&gt;Dynamics 365 Shell, 166 Screens"]</w:t>
              <w:br/>
              <w:t xml:space="preserve">        MOBILE["Field CPV Application&lt;br/&gt;&lt;b&gt;React Native / Expo 54&lt;/b&gt;&lt;br/&gt;Offline-first SQLite + MMKV queue"]</w:t>
              <w:br/>
              <w:t xml:space="preserve">    end</w:t>
              <w:br/>
              <w:br/>
              <w:t xml:space="preserve">    subgraph Gateway_Tier ["Ingress &amp; Reverse Proxy"]</w:t>
              <w:br/>
              <w:t xml:space="preserve">        NGINX["Nginx / k3s Traefik Ingress&lt;br/&gt;Port 443 / SSL Termination"]</w:t>
              <w:br/>
              <w:t xml:space="preserve">    end</w:t>
              <w:br/>
              <w:br/>
              <w:t xml:space="preserve">    subgraph App_Tier ["Application Tier"]</w:t>
              <w:br/>
              <w:t xml:space="preserve">        API["ULMS Modular Monolith API&lt;br/&gt;&lt;b&gt;Spring Boot 4.0.x / Java 21 LTS&lt;/b&gt;&lt;br/&gt;Virtual Threads, Spring Modulith&lt;br/&gt;Port 8081 (API), Port 9977 (Actuator)"]</w:t>
              <w:br/>
              <w:t xml:space="preserve">        FINERACT["Core Lending Engine&lt;br/&gt;&lt;b&gt;Apache Fineract 1.12.x CE&lt;/b&gt;&lt;br/&gt;Port 8083 (Mutual TLS)"]</w:t>
              <w:br/>
              <w:t xml:space="preserve">        KEYCLOAK["Identity &amp; Access Management&lt;br/&gt;&lt;b&gt;Keycloak 26.x&lt;/b&gt;&lt;br/&gt;OIDC / OAuth 2.0 PKCE, Port 8082"]</w:t>
              <w:br/>
              <w:t xml:space="preserve">    end</w:t>
              <w:br/>
              <w:br/>
              <w:t xml:space="preserve">    subgraph Data_Tier ["Data &amp; Storage Tier"]</w:t>
              <w:br/>
              <w:t xml:space="preserve">        POSTGRES[("Relational Database&lt;br/&gt;&lt;b&gt;PostgreSQL 17&lt;/b&gt;&lt;br/&gt;Schemas: 'ulms', 'fineract_tenants'&lt;br/&gt;Port 5432")]</w:t>
              <w:br/>
              <w:t xml:space="preserve">        MINIO[("Document &amp; Object Storage&lt;br/&gt;&lt;b&gt;SeaweedFS S3 / MinIO&lt;/b&gt;&lt;br/&gt;AES-256 Document Store&lt;br/&gt;Port 8333 / 9002")]</w:t>
              <w:br/>
              <w:t xml:space="preserve">    end</w:t>
              <w:br/>
              <w:br/>
              <w:t xml:space="preserve">    subgraph Observability_Tier ["Observability &amp; Metrics"]</w:t>
              <w:br/>
              <w:t xml:space="preserve">        PROM["Prometheus v3.5&lt;br/&gt;Scrapes :9977/actuator/prometheus"]</w:t>
              <w:br/>
              <w:t xml:space="preserve">        GRAF["Grafana 11.6&lt;br/&gt;Financial &amp; SRE Dashboards"]</w:t>
              <w:br/>
              <w:t xml:space="preserve">        LOKI["Loki Log Aggregator&lt;br/&gt;PII-Masked Audit Logs"]</w:t>
              <w:br/>
              <w:t xml:space="preserve">    end</w:t>
              <w:br/>
              <w:br/>
              <w:t xml:space="preserve">    WEB --&gt;|"HTTPS / REST / JWT"| NGINX</w:t>
              <w:br/>
              <w:t xml:space="preserve">    MOBILE --&gt;|"HTTPS / REST / PKCE"| NGINX</w:t>
              <w:br/>
              <w:t xml:space="preserve">    NGINX --&gt;|"Proxies /api to :8081"| API</w:t>
              <w:br/>
              <w:t xml:space="preserve">    NGINX --&gt;|"Proxies /auth to :8082"| KEYCLOAK</w:t>
              <w:br/>
              <w:br/>
              <w:t xml:space="preserve">    API --&gt;|"Validates JWT tokens via JWKS"| KEYCLOAK</w:t>
              <w:br/>
              <w:t xml:space="preserve">    API --&gt;|"REST commands over mTLS"| FINERACT</w:t>
              <w:br/>
              <w:t xml:space="preserve">    API --&gt;|"JDBC Pool (HikariCP)"| POSTGRES</w:t>
              <w:br/>
              <w:t xml:space="preserve">    FINERACT --&gt;|"JDBC Pool"| POSTGRES</w:t>
              <w:br/>
              <w:t xml:space="preserve">    API --&gt;|"AWS SDK v2 S3 Client"| MINIO</w:t>
              <w:br/>
              <w:br/>
              <w:t xml:space="preserve">    PROM --&gt;|"Scrapes management metrics"| API</w:t>
              <w:br/>
              <w:t xml:space="preserve">    GRAF --&gt;|"Queries time-series"| PROM</w:t>
              <w:br/>
              <w:t xml:space="preserve">    API --&gt;|"Streams JSON logs"| LOKI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C4 Model Level 3: Component Diagram for `apps/api`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Unified Dynamics 365 style enterprise workspace consolidating 9 core banking modules.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Production Frontend Navigation Architecture &amp; Subsystem Directory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Dynamics 365 style enterprise workspace consolidating 9 core banking modules.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Spring Boot 4 application is organized as a </w:t>
      </w:r>
      <w:r>
        <w:rPr>
          <w:rFonts w:ascii="Segoe UI" w:hAnsi="Segoe UI"/>
          <w:b/>
          <w:color w:val="2D3748"/>
          <w:sz w:val="19"/>
        </w:rPr>
        <w:t>Modular Monolith</w:t>
      </w:r>
      <w:r>
        <w:rPr>
          <w:rFonts w:ascii="Segoe UI" w:hAnsi="Segoe UI"/>
          <w:color w:val="2D3748"/>
          <w:sz w:val="19"/>
        </w:rPr>
        <w:t xml:space="preserve"> comprising 9 core architectural modules. Each module maintains strict encapsulation, interacting via explicit Java API contracts and Spring application events.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TD</w:t>
              <w:br/>
              <w:t xml:space="preserve">    subgraph Core_Monolith ["ULMS Modular Monolith (com.uslbd.ulms)"]</w:t>
              <w:br/>
              <w:t xml:space="preserve">        CUSTOMER["&lt;b&gt;mod-customer&lt;/b&gt;&lt;br/&gt;Customer 360, KYC, CIF, NIDW Checks"]</w:t>
              <w:br/>
              <w:t xml:space="preserve">        ORIGINATION["&lt;b&gt;mod-origination&lt;/b&gt;&lt;br/&gt;Wizard Drafts, Document Store, Loan Applications"]</w:t>
              <w:br/>
              <w:t xml:space="preserve">        ASSESSMENT["&lt;b&gt;mod-assessment&lt;/b&gt;&lt;br/&gt;Scorecard v2, DBR Engine, Collateral Registry"]</w:t>
              <w:br/>
              <w:t xml:space="preserve">        APPROVAL["&lt;b&gt;mod-approval&lt;/b&gt;&lt;br/&gt;7-Level Ladder, Dual Control, BOCC Committee"]</w:t>
              <w:br/>
              <w:t xml:space="preserve">        SERVICING["&lt;b&gt;mod-servicing&lt;/b&gt;&lt;br/&gt;Amortization Schedules, Statements, Settlements"]</w:t>
              <w:br/>
              <w:t xml:space="preserve">        COLLECTIONS["&lt;b&gt;mod-collections&lt;/b&gt;&lt;br/&gt;DPD Worklist, Dunning Actions, PTP Machine"]</w:t>
              <w:br/>
              <w:t xml:space="preserve">        COMPLIANCE["&lt;b&gt;mod-compliance&lt;/b&gt;&lt;br/&gt;BRPD 15/2024 Engine, IFRS-9 ECL, Regcon Returns"]</w:t>
              <w:br/>
              <w:t xml:space="preserve">        INTEGRATION["&lt;b&gt;mod-integration&lt;/b&gt;&lt;br/&gt;CIB Port, NIDW Port, Payment Rails, ClamAV"]</w:t>
              <w:br/>
              <w:t xml:space="preserve">        PLATFORM["&lt;b&gt;mod-platform&lt;/b&gt;&lt;br/&gt;MoneyMath, Outbox, Audit, Idempotency, Security"]</w:t>
              <w:br/>
              <w:t xml:space="preserve">    end</w:t>
              <w:br/>
              <w:br/>
              <w:t xml:space="preserve">    ORIGINATION --&gt;|"Fetches Customer Profile"| CUSTOMER</w:t>
              <w:br/>
              <w:t xml:space="preserve">    ORIGINATION --&gt;|"Requests Credit Scoring"| ASSESSMENT</w:t>
              <w:br/>
              <w:t xml:space="preserve">    ASSESSMENT --&gt;|"Pulls Credit History"| INTEGRATION</w:t>
              <w:br/>
              <w:t xml:space="preserve">    ORIGINATION --&gt;|"Submits Application"| APPROVAL</w:t>
              <w:br/>
              <w:t xml:space="preserve">    APPROVAL --&gt;|"Disburses Approved Loan"| SERVICING</w:t>
              <w:br/>
              <w:t xml:space="preserve">    SERVICING --&gt;|"Calculates DPD &amp; Arrears"| COLLECTIONS</w:t>
              <w:br/>
              <w:t xml:space="preserve">    COLLECTIONS --&gt;|"Feeds Delinquency History"| COMPLIANCE</w:t>
              <w:br/>
              <w:t xml:space="preserve">    SERVICING --&gt;|"Generates EOD Loan Mirror"| COMPLIANCE</w:t>
              <w:br/>
              <w:t xml:space="preserve">    COMPLIANCE --&gt;|"Posts Provision JV"| SERVICING</w:t>
              <w:br/>
              <w:br/>
              <w:t xml:space="preserve">    CUSTOMER --&gt; PLATFORM</w:t>
              <w:br/>
              <w:t xml:space="preserve">    ORIGINATION --&gt; PLATFORM</w:t>
              <w:br/>
              <w:t xml:space="preserve">    ASSESSMENT --&gt; PLATFORM</w:t>
              <w:br/>
              <w:t xml:space="preserve">    APPROVAL --&gt; PLATFORM</w:t>
              <w:br/>
              <w:t xml:space="preserve">    SERVICING --&gt; PLATFORM</w:t>
              <w:br/>
              <w:t xml:space="preserve">    COLLECTIONS --&gt; PLATFORM</w:t>
              <w:br/>
              <w:t xml:space="preserve">    COMPLIANCE --&gt; PLATFORM</w:t>
              <w:br/>
              <w:t xml:space="preserve">    INTEGRATION --&gt; PLATFORM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Architectural Invariants &amp; Enforced Quality Controls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5.1 Strict Modularity (Spring Modulith Verification)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Module boundaries are enforced at compile time and verified during automated CI execution via </w:t>
      </w:r>
      <w:r>
        <w:rPr>
          <w:rFonts w:ascii="Consolas" w:hAnsi="Consolas"/>
          <w:color w:val="801515"/>
          <w:sz w:val="18"/>
        </w:rPr>
        <w:t>ModularityTest.java</w:t>
      </w:r>
      <w:r>
        <w:rPr>
          <w:rFonts w:ascii="Segoe UI" w:hAnsi="Segoe UI"/>
          <w:color w:val="2D3748"/>
          <w:sz w:val="19"/>
        </w:rPr>
        <w:t>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Packages outside a module </w:t>
      </w:r>
      <w:r>
        <w:rPr>
          <w:rFonts w:ascii="Segoe UI" w:hAnsi="Segoe UI"/>
          <w:b/>
          <w:color w:val="2D3748"/>
          <w:sz w:val="19"/>
        </w:rPr>
        <w:t>MUST NOT</w:t>
      </w:r>
      <w:r>
        <w:rPr>
          <w:rFonts w:ascii="Segoe UI" w:hAnsi="Segoe UI"/>
          <w:color w:val="2D3748"/>
          <w:sz w:val="19"/>
        </w:rPr>
        <w:t xml:space="preserve"> directly import internal implementation classes.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Modules communicate exclusively through public service interfaces annotated with </w:t>
      </w:r>
      <w:r>
        <w:rPr>
          <w:rFonts w:ascii="Consolas" w:hAnsi="Consolas"/>
          <w:color w:val="801515"/>
          <w:sz w:val="18"/>
        </w:rPr>
        <w:t>@NamedInterface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Cyclic dependencies between packages trigger immediate build failure.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5.2 The Minor-Units Currency Standard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Floating-point arithmetic is strictly prohibited in monetary domain logic: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java</w:t>
              <w:br/>
            </w:r>
            <w:r>
              <w:rPr>
                <w:rFonts w:ascii="Consolas" w:hAnsi="Consolas"/>
                <w:color w:val="1A202C"/>
                <w:sz w:val="17"/>
              </w:rPr>
              <w:t>// BANNED:</w:t>
              <w:br/>
              <w:t xml:space="preserve">double interest = principal * rate; </w:t>
              <w:br/>
              <w:br/>
              <w:t>// MANDATED:</w:t>
              <w:br/>
              <w:t>long emiMinor = MoneyMath.emiMonthly(principalMinor, tenorMonths, annualRate);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5.3 Idempotency &amp; Replay Protection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mutating operations (loan submission, disbursement, payment counter posting, regulatory return submission) require an </w:t>
      </w:r>
      <w:r>
        <w:rPr>
          <w:rFonts w:ascii="Consolas" w:hAnsi="Consolas"/>
          <w:color w:val="801515"/>
          <w:sz w:val="18"/>
        </w:rPr>
        <w:t>Idempotency-Key</w:t>
      </w:r>
      <w:r>
        <w:rPr>
          <w:rFonts w:ascii="Segoe UI" w:hAnsi="Segoe UI"/>
          <w:color w:val="2D3748"/>
          <w:sz w:val="19"/>
        </w:rPr>
        <w:t xml:space="preserve"> HTTP header.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Replays within a 48-hour window return the cached response with the HTTP header </w:t>
      </w:r>
      <w:r>
        <w:rPr>
          <w:rFonts w:ascii="Consolas" w:hAnsi="Consolas"/>
          <w:color w:val="801515"/>
          <w:sz w:val="18"/>
        </w:rPr>
        <w:t>Idempotent-Replay: true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Concurrent duplicate requests are rejected with </w:t>
      </w:r>
      <w:r>
        <w:rPr>
          <w:rFonts w:ascii="Consolas" w:hAnsi="Consolas"/>
          <w:color w:val="801515"/>
          <w:sz w:val="18"/>
        </w:rPr>
        <w:t>HTTP 409 Conflict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5.4 Hash-Chained Audit Trail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Every mutating operation generates an immutable row in </w:t>
      </w:r>
      <w:r>
        <w:rPr>
          <w:rFonts w:ascii="Consolas" w:hAnsi="Consolas"/>
          <w:color w:val="801515"/>
          <w:sz w:val="18"/>
        </w:rPr>
        <w:t>ulms.audit_entry</w:t>
      </w:r>
      <w:r>
        <w:rPr>
          <w:rFonts w:ascii="Segoe UI" w:hAnsi="Segoe UI"/>
          <w:color w:val="2D3748"/>
          <w:sz w:val="19"/>
        </w:rPr>
        <w:t>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$$\text{Hash}_n = \text{SHA-256}(\text{Hash}_{n-1} \parallel \text{Timestamp} \parallel \text{Actor} \parallel \text{Action} \parallel \text{PayloadJSON})$$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This cryptographic chain guarantees tamper-evident logging conforming to </w:t>
      </w:r>
      <w:r>
        <w:rPr>
          <w:rFonts w:ascii="Segoe UI" w:hAnsi="Segoe UI"/>
          <w:b/>
          <w:color w:val="2D3748"/>
          <w:sz w:val="19"/>
        </w:rPr>
        <w:t>Bangladesh Bank ICT Security Guidelines V4.0</w:t>
      </w:r>
      <w:r>
        <w:rPr>
          <w:rFonts w:ascii="Segoe UI" w:hAnsi="Segoe UI"/>
          <w:color w:val="2D3748"/>
          <w:sz w:val="19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6. Regulatory &amp; Technology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Code Artifact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Standard / Circular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Modular Core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apps/api/src/main/java/com/uslbd/ulms/UlmsApplication.java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ADR-001, Spring Boot 4.0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Lending Engine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apps/api/src/main/java/com/uslbd/ulms/integration/fineract/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ADR-002, Apache Fineract 1.12.x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7-Stage Classifier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apps/api/src/main/java/com/uslbd/ulms/compliance/BrpdClassifier.java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BRPD Circular 15/2024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DBR Cap ($\le 50\%$)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apps/api/src/main/java/com/uslbd/ulms/platform/MoneyMath.java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BB PPG Guideline No. 15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STR Alert ($\ge 10\text{L}$)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apps/api/src/main/java/com/uslbd/ulms/aml/AmlService.java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BFIU Circular 25/26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Outbox Relay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apps/api/src/main/java/com/uslbd/ulms/platform/outbox/OutboxService.java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ADR-004, PostgreSQL 17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Identity Provider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deploy/compose/docker-compose.yml</w:t>
            </w:r>
            <w:r>
              <w:rPr>
                <w:rFonts w:ascii="Segoe UI" w:hAnsi="Segoe UI"/>
                <w:color w:val="2D3748"/>
                <w:sz w:val="17"/>
              </w:rPr>
              <w:t xml:space="preserve"> (Keycloak service)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26.x, RFC 7636 PKCE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Architecture Blueprint 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High-Availability Bank On-Premises Production Deployment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Multi-master database cluster, dual API ingress controllers, and air-gapped container pod layout.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DOC-01-ARCH-01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