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DOC-01-ARCH-02: Apache Fineract 1.12.x Core Banking Integration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DOC-01-ARCH-02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fineract_core_banking_integration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[backend_developer, core_banking_specialist, architect, auditor, dba]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DOC-01-ARCH-02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DOC-01-ARCH-02: Apache Fineract 1.12.x Core Banking Integration Specification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1.12.x Core Banking Integration &amp; REST Adapter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Technical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LMS_CODEBASE/docs/adr/ADR-002-fineract-as-engine.md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  <w:r>
              <w:rPr>
                <w:rFonts w:ascii="Segoe UI" w:hAnsi="Segoe UI"/>
                <w:color w:val="2D3748"/>
                <w:sz w:val="17"/>
              </w:rPr>
              <w:t xml:space="preserve"> (§3.1) → </w:t>
            </w:r>
            <w:r>
              <w:rPr>
                <w:rFonts w:ascii="Consolas" w:hAnsi="Consolas"/>
                <w:color w:val="801515"/>
                <w:sz w:val="16"/>
              </w:rPr>
              <w:t>audit/09_FINERACT_INTEGRATION_AND_CORE_BANKING_AUDIT.md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Architectural Strategy &amp; Decision Rationale (ADR-002)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v2.0 integrates with </w:t>
      </w:r>
      <w:r>
        <w:rPr>
          <w:rFonts w:ascii="Segoe UI" w:hAnsi="Segoe UI"/>
          <w:b/>
          <w:color w:val="2D3748"/>
          <w:sz w:val="19"/>
        </w:rPr>
        <w:t>Apache Fineract 1.12.x Community Edition (CE)</w:t>
      </w:r>
      <w:r>
        <w:rPr>
          <w:rFonts w:ascii="Segoe UI" w:hAnsi="Segoe UI"/>
          <w:color w:val="2D3748"/>
          <w:sz w:val="19"/>
        </w:rPr>
        <w:t xml:space="preserve"> as its underlying core lending ledger. To insulate the commercial bank deployment from upstream release churn and maintain strict adherence to Bangladesh Bank accounting standards, the integration strictly enforces </w:t>
      </w:r>
      <w:r>
        <w:rPr>
          <w:rFonts w:ascii="Segoe UI" w:hAnsi="Segoe UI"/>
          <w:b/>
          <w:color w:val="2D3748"/>
          <w:sz w:val="19"/>
        </w:rPr>
        <w:t>ADR-002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subgraph ULMS_Domain ["ULMS Custom Domain Layer"]</w:t>
              <w:br/>
              <w:t xml:space="preserve">        APP["ULMS Loan Application&lt;br/&gt;State: SANCTIONED"]</w:t>
              <w:br/>
              <w:t xml:space="preserve">        PORT["FineractPort (Hexagonal Interface)"]</w:t>
              <w:br/>
              <w:t xml:space="preserve">        CLIENT["FineractClient (REST Adapter)"]</w:t>
              <w:br/>
              <w:t xml:space="preserve">        OUTBOX["Transactional Outbox&lt;br/&gt;(ulms_app.outbox_events)"]</w:t>
              <w:br/>
              <w:t xml:space="preserve">    end</w:t>
              <w:br/>
              <w:br/>
              <w:t xml:space="preserve">    subgraph Fineract_Ledger ["Apache Fineract 1.12.x Core Engine"]</w:t>
              <w:br/>
              <w:t xml:space="preserve">        REST_API["Fineract REST API (:8443)&lt;br/&gt;Mutual TLS / Basic Auth"]</w:t>
              <w:br/>
              <w:t xml:space="preserve">        LEDGER["Fineract Loan Ledger Engine&lt;br/&gt;m_loan / m_loan_transaction"]</w:t>
              <w:br/>
              <w:t xml:space="preserve">    end</w:t>
              <w:br/>
              <w:br/>
              <w:t xml:space="preserve">    APP --&gt; PORT</w:t>
              <w:br/>
              <w:t xml:space="preserve">    PORT --&gt; CLIENT</w:t>
              <w:br/>
              <w:t xml:space="preserve">    CLIENT --&gt;|"Synchronous REST (Timeout: 10s)"| REST_API</w:t>
              <w:br/>
              <w:t xml:space="preserve">    PORT -.-&gt;|"Async Event Failover"| OUTBOX</w:t>
              <w:br/>
              <w:t xml:space="preserve">    OUTBOX --&gt;|"Idempotent Relay"| CLIENT</w:t>
              <w:br/>
              <w:t xml:space="preserve">    REST_API --&gt; LEDGER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The Three Absolute Rules of Fineract Integration: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Zero Upstream Schema Alterations:</w:t>
      </w:r>
      <w:r>
        <w:rPr>
          <w:rFonts w:ascii="Segoe UI" w:hAnsi="Segoe UI"/>
          <w:color w:val="2D3748"/>
          <w:sz w:val="19"/>
        </w:rPr>
        <w:t xml:space="preserve"> ULMS </w:t>
      </w:r>
      <w:r>
        <w:rPr>
          <w:rFonts w:ascii="Segoe UI" w:hAnsi="Segoe UI"/>
          <w:b/>
          <w:color w:val="2D3748"/>
          <w:sz w:val="19"/>
        </w:rPr>
        <w:t>MUST NEVER</w:t>
      </w:r>
      <w:r>
        <w:rPr>
          <w:rFonts w:ascii="Segoe UI" w:hAnsi="Segoe UI"/>
          <w:color w:val="2D3748"/>
          <w:sz w:val="19"/>
        </w:rPr>
        <w:t xml:space="preserve"> alter, patch, add triggers to, or create foreign keys against Fineract database tables (</w:t>
      </w:r>
      <w:r>
        <w:rPr>
          <w:rFonts w:ascii="Consolas" w:hAnsi="Consolas"/>
          <w:color w:val="801515"/>
          <w:sz w:val="18"/>
        </w:rPr>
        <w:t>fineract_tenants</w:t>
      </w:r>
      <w:r>
        <w:rPr>
          <w:rFonts w:ascii="Segoe UI" w:hAnsi="Segoe UI"/>
          <w:color w:val="2D3748"/>
          <w:sz w:val="19"/>
        </w:rPr>
        <w:t xml:space="preserve"> or </w:t>
      </w:r>
      <w:r>
        <w:rPr>
          <w:rFonts w:ascii="Consolas" w:hAnsi="Consolas"/>
          <w:color w:val="801515"/>
          <w:sz w:val="18"/>
        </w:rPr>
        <w:t>mifostenant-default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REST-Only Data Mutation:</w:t>
      </w:r>
      <w:r>
        <w:rPr>
          <w:rFonts w:ascii="Segoe UI" w:hAnsi="Segoe UI"/>
          <w:color w:val="2D3748"/>
          <w:sz w:val="19"/>
        </w:rPr>
        <w:t xml:space="preserve"> All lending operations (client registration, loan creation, approval, disbursal, repayment, and write-off) </w:t>
      </w:r>
      <w:r>
        <w:rPr>
          <w:rFonts w:ascii="Segoe UI" w:hAnsi="Segoe UI"/>
          <w:b/>
          <w:color w:val="2D3748"/>
          <w:sz w:val="19"/>
        </w:rPr>
        <w:t>MUST</w:t>
      </w:r>
      <w:r>
        <w:rPr>
          <w:rFonts w:ascii="Segoe UI" w:hAnsi="Segoe UI"/>
          <w:color w:val="2D3748"/>
          <w:sz w:val="19"/>
        </w:rPr>
        <w:t xml:space="preserve"> execute strictly via Fineract's authenticated REST endpoints. Direct SQL </w:t>
      </w:r>
      <w:r>
        <w:rPr>
          <w:rFonts w:ascii="Consolas" w:hAnsi="Consolas"/>
          <w:color w:val="801515"/>
          <w:sz w:val="18"/>
        </w:rPr>
        <w:t>INSERT</w:t>
      </w:r>
      <w:r>
        <w:rPr>
          <w:rFonts w:ascii="Segoe UI" w:hAnsi="Segoe UI"/>
          <w:color w:val="2D3748"/>
          <w:sz w:val="19"/>
        </w:rPr>
        <w:t xml:space="preserve"> or </w:t>
      </w:r>
      <w:r>
        <w:rPr>
          <w:rFonts w:ascii="Consolas" w:hAnsi="Consolas"/>
          <w:color w:val="801515"/>
          <w:sz w:val="18"/>
        </w:rPr>
        <w:t>UPDATE</w:t>
      </w:r>
      <w:r>
        <w:rPr>
          <w:rFonts w:ascii="Segoe UI" w:hAnsi="Segoe UI"/>
          <w:color w:val="2D3748"/>
          <w:sz w:val="19"/>
        </w:rPr>
        <w:t xml:space="preserve"> statements into Fineract tables are strictly prohibited.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Digest-Pinned Upstream Containers:</w:t>
      </w:r>
      <w:r>
        <w:rPr>
          <w:rFonts w:ascii="Segoe UI" w:hAnsi="Segoe UI"/>
          <w:color w:val="2D3748"/>
          <w:sz w:val="19"/>
        </w:rPr>
        <w:t xml:space="preserve"> Production deployments pin the exact immutable commit-SHA container digest (</w:t>
      </w:r>
      <w:r>
        <w:rPr>
          <w:rFonts w:ascii="Consolas" w:hAnsi="Consolas"/>
          <w:color w:val="801515"/>
          <w:sz w:val="18"/>
        </w:rPr>
        <w:t>apache/fineract:1.12.0@sha256:7f9...</w:t>
      </w:r>
      <w:r>
        <w:rPr>
          <w:rFonts w:ascii="Segoe UI" w:hAnsi="Segoe UI"/>
          <w:color w:val="2D3748"/>
          <w:sz w:val="19"/>
        </w:rPr>
        <w:t>) to prevent breaking changes from upstream release train movements.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Dual-Schema PostgreSQL Database Layout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Live disbursement tracking, accrual ledger, and bi-directional Fineract sync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Production Loan Account Detail 360 &amp; Core Banking Ledger Reconciliation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disbursement tracking, accrual ledger, and bi-directional Fineract sync status.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and Apache Fineract co-exist within the same PostgreSQL 17 cluster but are strictly isolated into distinct logical schemas: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Schema Name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Purpose &amp; Contents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`ulms_app`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ulms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Custom loan origination, BRPD 15/2024 classification, CIB/NID cache, collections worklist, and mirror tables.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`fineract_tenants`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fineract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Tenant metadata, tenant connection pools, server configuration, and tenant license state.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`mifostenant-default`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fineract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The core double-entry accounting ledger, chart of accounts (</w:t>
            </w:r>
            <w:r>
              <w:rPr>
                <w:rFonts w:ascii="Consolas" w:hAnsi="Consolas"/>
                <w:color w:val="801515"/>
                <w:sz w:val="16"/>
              </w:rPr>
              <w:t>acc_gl_account</w:t>
            </w:r>
            <w:r>
              <w:rPr>
                <w:rFonts w:ascii="Segoe UI" w:hAnsi="Segoe UI"/>
                <w:color w:val="2D3748"/>
                <w:sz w:val="17"/>
              </w:rPr>
              <w:t>), client profiles (</w:t>
            </w:r>
            <w:r>
              <w:rPr>
                <w:rFonts w:ascii="Consolas" w:hAnsi="Consolas"/>
                <w:color w:val="801515"/>
                <w:sz w:val="16"/>
              </w:rPr>
              <w:t>m_client</w:t>
            </w:r>
            <w:r>
              <w:rPr>
                <w:rFonts w:ascii="Segoe UI" w:hAnsi="Segoe UI"/>
                <w:color w:val="2D3748"/>
                <w:sz w:val="17"/>
              </w:rPr>
              <w:t>), and loans (</w:t>
            </w:r>
            <w:r>
              <w:rPr>
                <w:rFonts w:ascii="Consolas" w:hAnsi="Consolas"/>
                <w:color w:val="801515"/>
                <w:sz w:val="16"/>
              </w:rPr>
              <w:t>m_loan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erDiagram</w:t>
              <w:br/>
              <w:t xml:space="preserve">    ULMS_LOAN ||--|| FINERACT_M_LOAN : "mirrors (fineract_loan_id = m_loan.id)"</w:t>
              <w:br/>
              <w:t xml:space="preserve">    ULMS_PAYMENT ||--|| FINERACT_TRANSACTION : "posts to (fineract_txn_id = transaction.id)"</w:t>
              <w:br/>
              <w:t xml:space="preserve">    </w:t>
              <w:br/>
              <w:t xml:space="preserve">    ULMS_LOAN {</w:t>
              <w:br/>
              <w:t xml:space="preserve">        uuid id PK</w:t>
              <w:br/>
              <w:t xml:space="preserve">        uuid customer_id FK</w:t>
              <w:br/>
              <w:t xml:space="preserve">        bigint outstanding_minor</w:t>
              <w:br/>
              <w:t xml:space="preserve">        varchar classification</w:t>
              <w:br/>
              <w:t xml:space="preserve">        int dpd</w:t>
              <w:br/>
              <w:t xml:space="preserve">        bigint fineract_loan_id UK</w:t>
              <w:br/>
              <w:t xml:space="preserve">    }</w:t>
              <w:br/>
              <w:t xml:space="preserve">    FINERACT_M_LOAN {</w:t>
              <w:br/>
              <w:t xml:space="preserve">        bigint id PK</w:t>
              <w:br/>
              <w:t xml:space="preserve">        varchar external_id UK</w:t>
              <w:br/>
              <w:t xml:space="preserve">        decimal principal_amount</w:t>
              <w:br/>
              <w:t xml:space="preserve">        decimal total_outstanding_derived</w:t>
              <w:br/>
              <w:t xml:space="preserve">        int loan_status_id</w:t>
              <w:br/>
              <w:t xml:space="preserve">    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Hexagonal Ports &amp; Core Banking API Endpoints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RFC 9457 compliant contract surface with strict idempotency key enforcement.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REST API Specification Surface &amp; Core Banking Bridge Contracts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RFC 9457 compliant contract surface with strict idempotency key enforcement.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core banking interactions are decoupled behind hexagonal interfaces in </w:t>
      </w:r>
      <w:r>
        <w:rPr>
          <w:rFonts w:ascii="Consolas" w:hAnsi="Consolas"/>
          <w:color w:val="801515"/>
          <w:sz w:val="18"/>
        </w:rPr>
        <w:t>com.uslbd.ulms.integration.fineract</w:t>
      </w:r>
      <w:r>
        <w:rPr>
          <w:rFonts w:ascii="Segoe UI" w:hAnsi="Segoe UI"/>
          <w:color w:val="2D3748"/>
          <w:sz w:val="19"/>
        </w:rPr>
        <w:t>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3.1 Client Registration Bridge (`FineractPort`)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package com.uslbd.ulms.integration.fineract;</w:t>
              <w:br/>
              <w:br/>
              <w:t>public interface FineractPort {</w:t>
              <w:br/>
              <w:t xml:space="preserve">    long createClient(FineractClient client);</w:t>
              <w:br/>
              <w:t xml:space="preserve">    java.util.Optional&lt;Long&gt; findClientIdByMobile(String mobile);</w:t>
              <w:br/>
              <w:br/>
              <w:t xml:space="preserve">    record FineractClient(</w:t>
              <w:br/>
              <w:t xml:space="preserve">        String nameEn, </w:t>
              <w:br/>
              <w:t xml:space="preserve">        String nameBn, </w:t>
              <w:br/>
              <w:t xml:space="preserve">        String mobile, </w:t>
              <w:br/>
              <w:t xml:space="preserve">        String branchCode, </w:t>
              <w:br/>
              <w:t xml:space="preserve">        String nationalId</w:t>
              <w:br/>
              <w:t xml:space="preserve">    ) {}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3.2 Lending Account Operations (`FineractLoanPort`)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package com.uslbd.ulms.integration.fineract;</w:t>
              <w:br/>
              <w:br/>
              <w:t>public interface FineractLoanPort {</w:t>
              <w:br/>
              <w:t xml:space="preserve">    long createLoan(LoanSpec spec);</w:t>
              <w:br/>
              <w:t xml:space="preserve">    long disburseLoan(long fineractLoanId, long amountMinor);</w:t>
              <w:br/>
              <w:t xml:space="preserve">    long repayLoan(long fineractLoanId, long amountMinor, String externalTxnId);</w:t>
              <w:br/>
              <w:t xml:space="preserve">    long waiveInterest(long fineractLoanId, long amountMinor);</w:t>
              <w:br/>
              <w:t xml:space="preserve">    long chargeFee(long fineractLoanId, long amountMinor, String chargeName);</w:t>
              <w:br/>
              <w:br/>
              <w:t xml:space="preserve">    record LoanSpec(</w:t>
              <w:br/>
              <w:t xml:space="preserve">        long fineractClientId, </w:t>
              <w:br/>
              <w:t xml:space="preserve">        String productExternalId, </w:t>
              <w:br/>
              <w:t xml:space="preserve">        long principalMinor,</w:t>
              <w:br/>
              <w:t xml:space="preserve">        int tenorMonths, </w:t>
              <w:br/>
              <w:t xml:space="preserve">        java.math.BigDecimal annualRate</w:t>
              <w:br/>
              <w:t xml:space="preserve">    ) {}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3.3 Core Endpoint Mappings &amp; Payloads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ULMS Trigger Event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Fineract REST Endpoint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HTTP Method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Client Registration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Customer e-KYC Verified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/fineract-provider/api/v1/clients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Loan Creation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Application Sanctioned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/fineract-provider/api/v1/loans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Loan Approval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Approval Ladder Complete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/fineract-provider/api/v1/loans/{id}?command=approve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Disbursement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Dual-Auth Release Complete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/fineract-provider/api/v1/loans/{id}?command=disburse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Repayment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MFS / Counter Payment Verified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/fineract-provider/api/v1/loans/{id}/transactions?command=repayment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Fee Charge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Servicing Penalty / Late Fee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/fineract-provider/api/v1/loans/{id}/charges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GL Provision JV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Nightly BRPD EOD Batch Sign-off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/fineract-provider/api/v1/journalentries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</w:tr>
    </w:tbl>
    <w:p>
      <w:pPr>
        <w:spacing w:before="80" w:after="80"/>
      </w:pPr>
    </w:p>
    <w:p>
      <w:pPr>
        <w:keepNext/>
        <w:spacing w:before="120" w:after="40"/>
      </w:pPr>
      <w:r>
        <w:rPr>
          <w:rFonts w:ascii="Segoe UI" w:hAnsi="Segoe UI"/>
          <w:b/>
          <w:i/>
          <w:color w:val="2D3748"/>
          <w:sz w:val="19"/>
        </w:rPr>
        <w:t>Sample Loan Creation Payload (`POST /fineract-provider/api/v1/loans`)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json</w:t>
              <w:br/>
            </w:r>
            <w:r>
              <w:rPr>
                <w:rFonts w:ascii="Consolas" w:hAnsi="Consolas"/>
                <w:color w:val="1A202C"/>
                <w:sz w:val="17"/>
              </w:rPr>
              <w:t>{</w:t>
              <w:br/>
              <w:t xml:space="preserve">  "clientId": 1042,</w:t>
              <w:br/>
              <w:t xml:space="preserve">  "productId": 3,</w:t>
              <w:br/>
              <w:t xml:space="preserve">  "principal": "2000000.00",</w:t>
              <w:br/>
              <w:t xml:space="preserve">  "loanTermFrequency": 36,</w:t>
              <w:br/>
              <w:t xml:space="preserve">  "loanTermFrequencyType": 2,</w:t>
              <w:br/>
              <w:t xml:space="preserve">  "numberOfRepayments": 36,</w:t>
              <w:br/>
              <w:t xml:space="preserve">  "repaymentEvery": 1,</w:t>
              <w:br/>
              <w:t xml:space="preserve">  "repaymentFrequencyType": 2,</w:t>
              <w:br/>
              <w:t xml:space="preserve">  "interestRatePerPeriod": "9.0",</w:t>
              <w:br/>
              <w:t xml:space="preserve">  "amortizationType": 1,</w:t>
              <w:br/>
              <w:t xml:space="preserve">  "interestType": 0,</w:t>
              <w:br/>
              <w:t xml:space="preserve">  "interestCalculationPeriodType": 1,</w:t>
              <w:br/>
              <w:t xml:space="preserve">  "transactionProcessingStrategyCode": "mifos-standard-strategy",</w:t>
              <w:br/>
              <w:t xml:space="preserve">  "expectedDisbursementDate": "07 October 2026",</w:t>
              <w:br/>
              <w:t xml:space="preserve">  "submittedOnDate": "07 October 2026",</w:t>
              <w:br/>
              <w:t xml:space="preserve">  "dateFormat": "dd MMMM yyyy",</w:t>
              <w:br/>
              <w:t xml:space="preserve">  "locale": "en"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Currency Units Conversion Standard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stores all monetary amounts as </w:t>
      </w:r>
      <w:r>
        <w:rPr>
          <w:rFonts w:ascii="Segoe UI" w:hAnsi="Segoe UI"/>
          <w:b/>
          <w:color w:val="2D3748"/>
          <w:sz w:val="19"/>
        </w:rPr>
        <w:t>64-bit integer minor currency units (poisha)</w:t>
      </w:r>
      <w:r>
        <w:rPr>
          <w:rFonts w:ascii="Segoe UI" w:hAnsi="Segoe UI"/>
          <w:color w:val="2D3748"/>
          <w:sz w:val="19"/>
        </w:rPr>
        <w:t>, whereas Fineract accepts major units (BDT) formatted as decimal strings: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Disbursement Amount in ULMS: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200000000</w:t>
      </w:r>
      <w:r>
        <w:rPr>
          <w:rFonts w:ascii="Segoe UI" w:hAnsi="Segoe UI"/>
          <w:color w:val="2D3748"/>
          <w:sz w:val="19"/>
        </w:rPr>
        <w:t xml:space="preserve"> poisha $\implies$ </w:t>
      </w:r>
      <w:r>
        <w:rPr>
          <w:rFonts w:ascii="Consolas" w:hAnsi="Consolas"/>
          <w:color w:val="801515"/>
          <w:sz w:val="18"/>
        </w:rPr>
        <w:t>"2000000.00"</w:t>
      </w:r>
      <w:r>
        <w:rPr>
          <w:rFonts w:ascii="Segoe UI" w:hAnsi="Segoe UI"/>
          <w:color w:val="2D3748"/>
          <w:sz w:val="19"/>
        </w:rPr>
        <w:t xml:space="preserve"> BDT sent to Fineract REST API.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Conversion Function: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  public static BigDecimal minorToMajor(long poisha) {</w:t>
              <w:br/>
              <w:t xml:space="preserve">      return BigDecimal.valueOf(poisha)</w:t>
              <w:br/>
              <w:t xml:space="preserve">          .divide(BigDecimal.valueOf(100), 2, RoundingMode.UNNECESSARY);</w:t>
              <w:br/>
              <w:t xml:space="preserve">  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Ledger Synchronization &amp; Drift Reconciliation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Live telemetry monitoring Fineract batch sync and external CBS rails.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Core Banking Real-Time Portfolio Sync &amp; Operations Command Center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telemetry monitoring Fineract batch sync and external CBS rails.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guarantee 100% balance consistency between ULMS mirror tables and Fineract ledger accounts: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5.1 Automated Nightly Balance Audit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nightly EOD batch executes a SQL reconciliation probe comparing </w:t>
      </w:r>
      <w:r>
        <w:rPr>
          <w:rFonts w:ascii="Consolas" w:hAnsi="Consolas"/>
          <w:color w:val="801515"/>
          <w:sz w:val="18"/>
        </w:rPr>
        <w:t>ulms_app.loans.outstanding_minor</w:t>
      </w:r>
      <w:r>
        <w:rPr>
          <w:rFonts w:ascii="Segoe UI" w:hAnsi="Segoe UI"/>
          <w:color w:val="2D3748"/>
          <w:sz w:val="19"/>
        </w:rPr>
        <w:t xml:space="preserve"> against Fineract's </w:t>
      </w:r>
      <w:r>
        <w:rPr>
          <w:rFonts w:ascii="Consolas" w:hAnsi="Consolas"/>
          <w:color w:val="801515"/>
          <w:sz w:val="18"/>
        </w:rPr>
        <w:t>m_loan.total_outstanding_derived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 xml:space="preserve">SELECT </w:t>
              <w:br/>
              <w:t xml:space="preserve">    u.id AS ulms_loan_id,</w:t>
              <w:br/>
              <w:t xml:space="preserve">    u.fineract_loan_id,</w:t>
              <w:br/>
              <w:t xml:space="preserve">    u.outstanding_minor,</w:t>
              <w:br/>
              <w:t xml:space="preserve">    ROUND(f.total_outstanding_derived * 100) AS fineract_minor,</w:t>
              <w:br/>
              <w:t xml:space="preserve">    ABS(u.outstanding_minor - ROUND(f.total_outstanding_derived * 100)) AS variance_poisha</w:t>
              <w:br/>
              <w:t>FROM ulms_app.loans u</w:t>
              <w:br/>
              <w:t>JOIN mifostenant-default.m_loan f ON f.id = u.fineract_loan_id</w:t>
              <w:br/>
              <w:t>WHERE ABS(u.outstanding_minor - ROUND(f.total_outstanding_derived * 100)) &gt; 0;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5.2 Drift Resolution Action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If any variance is detected ($&gt; 0\text{ poisha}$), the system raises Prometheus alert </w:t>
      </w:r>
      <w:r>
        <w:rPr>
          <w:rFonts w:ascii="Consolas" w:hAnsi="Consolas"/>
          <w:color w:val="801515"/>
          <w:sz w:val="18"/>
        </w:rPr>
        <w:t>FineractReconMismatch</w:t>
      </w:r>
      <w:r>
        <w:rPr>
          <w:rFonts w:ascii="Segoe UI" w:hAnsi="Segoe UI"/>
          <w:color w:val="2D3748"/>
          <w:sz w:val="19"/>
        </w:rPr>
        <w:t xml:space="preserve"> and executes the automated resync reconciliation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curl -s -X POST -H "Authorization: Bearer $TOKEN" \</w:t>
              <w:br/>
              <w:t xml:space="preserve">  http://localhost:8081/api/v1/servicing/reconcile-ledger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Apache Fineract 1.12.x Core Banking Integration Specification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DOC-01-ARCH-02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