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01 ARCHITECTURE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DOC-01-ARCH-05: Statutory Financial Arithmetic &amp; Banking Accounting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DOC-01-ARCH-05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statutory_financial_arithmetic_and_ledger_accounting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[financial_engineer, backend_developer, core_banking_architect, auditor]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DOC-01-ARCH-05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DOC-01-ARCH-05: Statutory Financial Arithmetic &amp; Banking Accounting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Real-time Debt Burden Ratio (DBR) arithmetic, EMI scheduling, and Bangladesh Bank limit caps.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ppl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Production Loan Application Wizard with Live Statutory DBR Calculator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Real-time Debt Burden Ratio (DBR) arithmetic, EMI scheduling, and Bangladesh Bank limit caps.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Statutory Financial Arithmetic &amp; Banking Accounting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Banking Mathematical &amp; Accounting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Financial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LMS_CODEBASE/apps/api/src/main/java/com/uslbd/ulms/platform/MoneyMath.java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Bangladesh Bank BRPD Circular 15/2024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IFRS 9 Financial Instruments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Zero Floating-Point Money Invariant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accordance with institutional banking engineering standards, </w:t>
      </w:r>
      <w:r>
        <w:rPr>
          <w:rFonts w:ascii="Segoe UI" w:hAnsi="Segoe UI"/>
          <w:b/>
          <w:color w:val="2D3748"/>
          <w:sz w:val="19"/>
        </w:rPr>
        <w:t>floating-point numeric data types (`float`, `double`, `Float`, `Double`) are strictly prohibited</w:t>
      </w:r>
      <w:r>
        <w:rPr>
          <w:rFonts w:ascii="Segoe UI" w:hAnsi="Segoe UI"/>
          <w:color w:val="2D3748"/>
          <w:sz w:val="19"/>
        </w:rPr>
        <w:t xml:space="preserve"> throughout the ULMS codebase for all currency amounts, fees, balances, and interest rates.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The Single Money Representation Rule: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Persistent Minor Units (Poisha):</w:t>
      </w:r>
      <w:r>
        <w:rPr>
          <w:rFonts w:ascii="Segoe UI" w:hAnsi="Segoe UI"/>
          <w:color w:val="2D3748"/>
          <w:sz w:val="19"/>
        </w:rPr>
        <w:t xml:space="preserve"> All monetary values in the database, REST API DTOs, and internal messaging are expressed as </w:t>
      </w:r>
      <w:r>
        <w:rPr>
          <w:rFonts w:ascii="Segoe UI" w:hAnsi="Segoe UI"/>
          <w:b/>
          <w:color w:val="2D3748"/>
          <w:sz w:val="19"/>
        </w:rPr>
        <w:t>64-bit integer minor currency units (`Long` / `BIGINT`)</w:t>
      </w:r>
      <w:r>
        <w:rPr>
          <w:rFonts w:ascii="Segoe UI" w:hAnsi="Segoe UI"/>
          <w:color w:val="2D3748"/>
          <w:sz w:val="19"/>
        </w:rPr>
        <w:t xml:space="preserve"> representing Bangladesh Poisha ($1\text{ BDT} = 100\text{ poisha}$).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Intermediate Calculation Arithmetic:</w:t>
      </w:r>
      <w:r>
        <w:rPr>
          <w:rFonts w:ascii="Segoe UI" w:hAnsi="Segoe UI"/>
          <w:color w:val="2D3748"/>
          <w:sz w:val="19"/>
        </w:rPr>
        <w:t xml:space="preserve"> All interest rates, loan amortizations, and provisioning calculations utilize </w:t>
      </w:r>
      <w:r>
        <w:rPr>
          <w:rFonts w:ascii="Consolas" w:hAnsi="Consolas"/>
          <w:color w:val="801515"/>
          <w:sz w:val="18"/>
        </w:rPr>
        <w:t>java.math.BigDecimal</w:t>
      </w:r>
      <w:r>
        <w:rPr>
          <w:rFonts w:ascii="Segoe UI" w:hAnsi="Segoe UI"/>
          <w:color w:val="2D3748"/>
          <w:sz w:val="19"/>
        </w:rPr>
        <w:t xml:space="preserve"> with an exact precision scale of 6 decimal places, applying </w:t>
      </w:r>
      <w:r>
        <w:rPr>
          <w:rFonts w:ascii="Consolas" w:hAnsi="Consolas"/>
          <w:color w:val="801515"/>
          <w:sz w:val="18"/>
        </w:rPr>
        <w:t>RoundingMode.HALF_UP</w:t>
      </w:r>
      <w:r>
        <w:rPr>
          <w:rFonts w:ascii="Segoe UI" w:hAnsi="Segoe UI"/>
          <w:color w:val="2D3748"/>
          <w:sz w:val="19"/>
        </w:rPr>
        <w:t xml:space="preserve"> (Banker's rounding) before converting back to integer poisha.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Day-Count Conventions &amp; Equal Monthly Installment (EMI) Arithmetic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Automated fee, interest, and principal settlement arithmetic via MFS gateways.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_borrower_p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Borrower Digital Repayment Flow &amp; Statutory Allocation Breakdown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Automated fee, interest, and principal settlement arithmetic via MFS gateways.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v2.0 implements standard </w:t>
      </w:r>
      <w:r>
        <w:rPr>
          <w:rFonts w:ascii="Segoe UI" w:hAnsi="Segoe UI"/>
          <w:b/>
          <w:color w:val="2D3748"/>
          <w:sz w:val="19"/>
        </w:rPr>
        <w:t>Actual/365</w:t>
      </w:r>
      <w:r>
        <w:rPr>
          <w:rFonts w:ascii="Segoe UI" w:hAnsi="Segoe UI"/>
          <w:color w:val="2D3748"/>
          <w:sz w:val="19"/>
        </w:rPr>
        <w:t xml:space="preserve"> day-count conventions for conventional commercial loans and </w:t>
      </w:r>
      <w:r>
        <w:rPr>
          <w:rFonts w:ascii="Segoe UI" w:hAnsi="Segoe UI"/>
          <w:b/>
          <w:color w:val="2D3748"/>
          <w:sz w:val="19"/>
        </w:rPr>
        <w:t>30/360</w:t>
      </w:r>
      <w:r>
        <w:rPr>
          <w:rFonts w:ascii="Segoe UI" w:hAnsi="Segoe UI"/>
          <w:color w:val="2D3748"/>
          <w:sz w:val="19"/>
        </w:rPr>
        <w:t xml:space="preserve"> for specialized term products.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2.1 The Reducing Balance EMI Formula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monthly installment ($EMI$) on a reducing balance loan is determined by: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$$EMI = P \times \frac{r \times (1 + r)^n}{(1 + r)^n - 1}$$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Where: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$P$ = Principal loan amount in poisha.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$r$ = Monthly periodic interest rate ($\frac{\text{Annual Interest Rate}}{12 \times 100}$).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$n$ = Total number of monthly installments (Tenor in months).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2.2 Worked Numerical Example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Principal ($P$):</w:t>
      </w:r>
      <w:r>
        <w:rPr>
          <w:rFonts w:ascii="Segoe UI" w:hAnsi="Segoe UI"/>
          <w:color w:val="2D3748"/>
          <w:sz w:val="19"/>
        </w:rPr>
        <w:t xml:space="preserve"> BDT 2,000,000.00 ($200,000,000\text{ poisha}$)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Annual Interest Rate:</w:t>
      </w:r>
      <w:r>
        <w:rPr>
          <w:rFonts w:ascii="Segoe UI" w:hAnsi="Segoe UI"/>
          <w:color w:val="2D3748"/>
          <w:sz w:val="19"/>
        </w:rPr>
        <w:t xml:space="preserve"> $9.00\%$ per annum $\implies r = \frac{0.09}{12} = 0.0075$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Tenor ($n$):</w:t>
      </w:r>
      <w:r>
        <w:rPr>
          <w:rFonts w:ascii="Segoe UI" w:hAnsi="Segoe UI"/>
          <w:color w:val="2D3748"/>
          <w:sz w:val="19"/>
        </w:rPr>
        <w:t xml:space="preserve"> 36 months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$$\text{Factor } (1 + r)^n = (1.0075)^{36} \approx 1.308645$$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$$EMI = 2,000,000 \times \frac{0.0075 \times 1.308645}{1.308645 - 1} = 2,000,000 \times \frac{0.0098148}{0.308645} = \text{BDT } 63,599.37$$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Every month, the interest component ($I_k = \text{Outstanding Balance} \times r$) decreases while the principal repayment component ($P_k = EMI - I_k$) increases proportionately.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Statutory Debt Burden Ratio (DBR) Computation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Under Bangladesh Bank regulations, an individual borrower's aggregate debt service commitments across all financial institutions must not breach the statutory ceiling: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$$DBR = \frac{\text{Proposed Monthly EMI} + \text{Verified Existing Monthly Liabilities}}{\text{Verified Monthly Net Income}} \times 100 \le 50.0\%$$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Worked DBR Compliance Verification: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Verified Net Monthly Salary:</w:t>
      </w:r>
      <w:r>
        <w:rPr>
          <w:rFonts w:ascii="Segoe UI" w:hAnsi="Segoe UI"/>
          <w:color w:val="2D3748"/>
          <w:sz w:val="19"/>
        </w:rPr>
        <w:t xml:space="preserve"> BDT 150,000.00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Existing Credit Card &amp; Personal Loan Dues (from CIB):</w:t>
      </w:r>
      <w:r>
        <w:rPr>
          <w:rFonts w:ascii="Segoe UI" w:hAnsi="Segoe UI"/>
          <w:color w:val="2D3748"/>
          <w:sz w:val="19"/>
        </w:rPr>
        <w:t xml:space="preserve"> BDT 18,500.00 / month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Proposed New Home Loan EMI:</w:t>
      </w:r>
      <w:r>
        <w:rPr>
          <w:rFonts w:ascii="Segoe UI" w:hAnsi="Segoe UI"/>
          <w:color w:val="2D3748"/>
          <w:sz w:val="19"/>
        </w:rPr>
        <w:t xml:space="preserve"> BDT 52,000.00 / month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Total Monthly Debt Commitments:</w:t>
      </w:r>
      <w:r>
        <w:rPr>
          <w:rFonts w:ascii="Segoe UI" w:hAnsi="Segoe UI"/>
          <w:color w:val="2D3748"/>
          <w:sz w:val="19"/>
        </w:rPr>
        <w:t xml:space="preserve"> $\text{BDT } 18,500 + \text{BDT } 52,000 = \text{BDT } 70,500.00$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$$DBR = \frac{70,500}{150,000} \times 100 = 47.0\% \quad \implies \text{\textbf{COMPLIANT}} \ (\le 50.0\%)$$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If the proposed EMI were BDT 60,000, DBR would reach $52.33\%$, automatically triggering </w:t>
      </w:r>
      <w:r>
        <w:rPr>
          <w:rFonts w:ascii="Consolas" w:hAnsi="Consolas"/>
          <w:color w:val="801515"/>
          <w:sz w:val="18"/>
        </w:rPr>
        <w:t>ULMS-VAL-0001</w:t>
      </w:r>
      <w:r>
        <w:rPr>
          <w:rFonts w:ascii="Segoe UI" w:hAnsi="Segoe UI"/>
          <w:color w:val="2D3748"/>
          <w:sz w:val="19"/>
        </w:rPr>
        <w:t xml:space="preserve"> and blocking application submission.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Delegated Credit Approval Ladder Arithmetic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Statutory delegation tiers from Branch Manager to Board Credit Committee (BCC).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20101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_ladd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201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Delegated Approval Authority Matrix &amp; Credit Committee Approval Ladder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Statutory delegation tiers from Branch Manager to Board Credit Committee (BCC).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enforces strict role-based credit limits matching commercial bank governance mandates: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Approval Tier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Approver Role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Single Borrower Limit (BDT)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Unsecured Limit (BDT)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Governance Body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Tier 1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Branch Manager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1,000,000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200,000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Branch Credit Committee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Tier 2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Regional Credit Manager (CRM)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5,000,000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500,000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Regional Office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Tier 3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Head of Credit (HoC)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20,000,000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1,000,000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Head Office CRM Division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Tier 4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Managing Director &amp; CEO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50,000,000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2,500,000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Executive Management Committee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Tier 5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Board Credit Committee (BCC)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200,000,000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 to BDT 5,000,000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Board Committee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Tier 6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Full Board of Directors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Exceeding BDT 200,000,000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Exceeding BDT 5,000,000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Board of Directors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BRPD Circular 15/2024 Loan Classification &amp; Provisioning Engine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On each nightly EOD run, every loan is classified into one of 7 statutory stages based on Days Past Due (DPD) and objective qualitative criteria: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Stage ID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Classification Label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DPD Boundary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Statutory Base Provision Rate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Eligible Collateral Deduction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STD-0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Standard (Current)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$0\text{ days}$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$1.0\%$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None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STD-1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Standard (Watch)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$1\text{ to } 30\text{ days}$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$1.0\%$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None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STD-2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Standard (Caution)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$31\text{ to } 60\text{ days}$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$1.0\%$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None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SMA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Special Mention Account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$61\text{ to } 90\text{ days}$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$5.0\%$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None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SS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Substandard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$91\text{ to } 180\text{ days}$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$20.0\%$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Permitted (Eligible FSV)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DF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Doubtful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$181\text{ to } 365\text{ days}$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$50.0\%$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Permitted (Eligible FSV)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B/L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Bad / Loss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$&gt; 365\text{ days}$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$100.0\%$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Permitted (Eligible FSV)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Net Provision Arithmetic Formula: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For classified loans (SS, DF, B/L), statutory provisioning is computed against net unsecured exposure: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$$\text{Net Provision} = \max\Big(0, \big(\text{Total Outstanding} - \text{Eligible Collateral Forced Sale Value}\big)\Big) \times \text{Provision Rate}$$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6. Double-Entry General Ledger Accounting Mappings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All loan lifecycle events map to balanced, zero-sum double-entry accounting journal vouchers posted directly into Apache Fineract's general ledger (</w:t>
      </w:r>
      <w:r>
        <w:rPr>
          <w:rFonts w:ascii="Consolas" w:hAnsi="Consolas"/>
          <w:color w:val="801515"/>
          <w:sz w:val="18"/>
        </w:rPr>
        <w:t>acc_gl_journal_entry</w:t>
      </w:r>
      <w:r>
        <w:rPr>
          <w:rFonts w:ascii="Segoe UI" w:hAnsi="Segoe UI"/>
          <w:color w:val="2D3748"/>
          <w:sz w:val="19"/>
        </w:rPr>
        <w:t>):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6.1 Loan Fund Disbursement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DEBIT:  GL-10401 (Loans &amp; Advances Asset Account)       BDT 2,000,000.00</w:t>
              <w:br/>
              <w:t>CREDIT: GL-20105 (Customer Settlement / CASA Account)   BDT 1,980,000.00</w:t>
              <w:br/>
              <w:t>CREDIT: GL-40201 (Loan Documentation &amp; Processing Fee) BDT    15,000.00</w:t>
              <w:br/>
              <w:t>CREDIT: GL-20302 (National CIB Verification Fee Pool)  BDT     5,000.00</w:t>
              <w:br/>
              <w:t>-------------------------------------------------------------------------</w:t>
              <w:br/>
              <w:t>TOTAL DEBITS: BDT 2,000,000.00 | TOTAL CREDITS: BDT 2,000,000.00 (BALANCED)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6.2 Monthly Installment Repayment Collection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DEBIT:  GL-20105 (Customer CASA Settlement Account)      BDT    63,599.37</w:t>
              <w:br/>
              <w:t>CREDIT: GL-10401 (Loan Principal Asset Account)          BDT    48,599.37</w:t>
              <w:br/>
              <w:t>CREDIT: GL-40101 (Interest Income on Advances)          BDT    15,000.00</w:t>
              <w:br/>
              <w:t>-------------------------------------------------------------------------</w:t>
              <w:br/>
              <w:t>TOTAL DEBITS: BDT 63,599.37 | TOTAL CREDITS: BDT 63,599.37 (BALANCED)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6.3 Nightly Provisioning Adjustment (EOD)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DEBIT:  GL-50301 (P&amp;L Provision Expense on Loans)        BDT    50,000.00</w:t>
              <w:br/>
              <w:t>CREDIT: GL-10409 (Allowance for Loan Losses Contra-Asset) BDT   50,000.00</w:t>
              <w:br/>
              <w:t>-------------------------------------------------------------------------</w:t>
              <w:br/>
              <w:t>TOTAL DEBITS: BDT 50,000.00 | TOTAL CREDITS: BDT 50,000.00 (BALANCED)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Statutory Financial Arithmetic &amp; Banking Accounting Specification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DOC-01-ARCH-05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