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01 ARCHITECTURE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DOC-01-ARCH-07: Enterprise Audit Trail, Immutable Logging &amp; Non-Repudiation Architecture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DOC-01-ARCH-07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reference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audit_trail_immutable_logging_non_repudiation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[compliance_officer, security_architect, auditor, bank_inspector]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DOC-01-ARCH-07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DOC-01-ARCH-07: Enterprise Audit Trail, Immutable Logging &amp; Non-Repudiation Architecture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Live view of ulms.audit_trail recording user mutations, timestamps, and cryptographic chains.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5_customer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Immutable Domain Audit Log &amp; Relational Entity Grid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Live view of ulms.audit_trail recording user mutations, timestamps, and cryptographic chains.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Enterprise Audit Trail &amp; Immutable Logging Architecture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Statutory Compliance &amp; Security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Bangladesh Bank ICT Security Guidelines V4.0 §3.4 → Bank Company Act 1991 §27 → NIST SP 800-92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Statutory Mandate &amp; Architecture Overview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Under </w:t>
      </w:r>
      <w:r>
        <w:rPr>
          <w:rFonts w:ascii="Segoe UI" w:hAnsi="Segoe UI"/>
          <w:b/>
          <w:color w:val="2D3748"/>
          <w:sz w:val="19"/>
        </w:rPr>
        <w:t>Bangladesh Bank ICT Security Guidelines V4.0 §3.4</w:t>
      </w:r>
      <w:r>
        <w:rPr>
          <w:rFonts w:ascii="Segoe UI" w:hAnsi="Segoe UI"/>
          <w:color w:val="2D3748"/>
          <w:sz w:val="19"/>
        </w:rPr>
        <w:t xml:space="preserve">, every scheduled commercial bank must maintain an immutable, tamper-evident audit log for all loan lifecycle events, credit committee decisions, manual interest overrides, and user access changes. Audit logs must be retained for a minimum of </w:t>
      </w:r>
      <w:r>
        <w:rPr>
          <w:rFonts w:ascii="Segoe UI" w:hAnsi="Segoe UI"/>
          <w:b/>
          <w:color w:val="2D3748"/>
          <w:sz w:val="19"/>
        </w:rPr>
        <w:t>12 years</w:t>
      </w:r>
      <w:r>
        <w:rPr>
          <w:rFonts w:ascii="Segoe UI" w:hAnsi="Segoe UI"/>
          <w:color w:val="2D3748"/>
          <w:sz w:val="19"/>
        </w:rPr>
        <w:t xml:space="preserve"> with cryptographic non-repudiation guarantees.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ULMS implements a dual-layer logging topology: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b/>
          <w:color w:val="2D3748"/>
          <w:sz w:val="19"/>
        </w:rPr>
        <w:t>Application Domain Audit (`ulms.audit_entry`):</w:t>
      </w:r>
      <w:r>
        <w:rPr>
          <w:rFonts w:ascii="Segoe UI" w:hAnsi="Segoe UI"/>
          <w:color w:val="2D3748"/>
          <w:sz w:val="19"/>
        </w:rPr>
        <w:t xml:space="preserve"> High-level business events capturing who, what, when, IP address, before/after JSON diffs, and cryptographic hash chains.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b/>
          <w:color w:val="2D3748"/>
          <w:sz w:val="19"/>
        </w:rPr>
        <w:t>Database Engine CDC &amp; Trigger Logging:</w:t>
      </w:r>
      <w:r>
        <w:rPr>
          <w:rFonts w:ascii="Segoe UI" w:hAnsi="Segoe UI"/>
          <w:color w:val="2D3748"/>
          <w:sz w:val="19"/>
        </w:rPr>
        <w:t xml:space="preserve"> Postgres append-only triggers preventing row mutation or deletion even by database superusers.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flowchart LR</w:t>
              <w:br/>
              <w:t xml:space="preserve">    subgraph Event_Source ["Domain Action Event"]</w:t>
              <w:br/>
              <w:t xml:space="preserve">        ACT["User Action&lt;br/&gt;(e.g., Credit Approval)"]</w:t>
              <w:br/>
              <w:t xml:space="preserve">    end</w:t>
              <w:br/>
              <w:br/>
              <w:t xml:space="preserve">    subgraph Security_Context ["Spring Security Audit Interceptor"]</w:t>
              <w:br/>
              <w:t xml:space="preserve">        INTERCEPTOR["`AuditAspect` &amp; `AuditorAware`&lt;br/&gt;Extracts JWT Subject, Roles, IP, Client ID"]</w:t>
              <w:br/>
              <w:t xml:space="preserve">    end</w:t>
              <w:br/>
              <w:br/>
              <w:t xml:space="preserve">    subgraph Chain_Hasher ["Cryptographic Hashing Engine"]</w:t>
              <w:br/>
              <w:t xml:space="preserve">        HASH["HMAC-SHA256 Chaining&lt;br/&gt;$H_n = \text{HMAC}(H_{n-1} \parallel \text{Payload}, K_{\text{audit}})$"]</w:t>
              <w:br/>
              <w:t xml:space="preserve">    end</w:t>
              <w:br/>
              <w:br/>
              <w:t xml:space="preserve">    subgraph Storage ["Tamper-Resistant Storage"]</w:t>
              <w:br/>
              <w:t xml:space="preserve">        DB_AUDIT["PostgreSQL `ulms.audit_entry`&lt;br/&gt;(Append-Only, Rule `ON UPDATE DO INSTEAD NOTHING`)"]</w:t>
              <w:br/>
              <w:t xml:space="preserve">        WORM["MinIO WORM / S3 Object Lock&lt;br/&gt;(Immutable Parquet Archive)"]</w:t>
              <w:br/>
              <w:t xml:space="preserve">    end</w:t>
              <w:br/>
              <w:br/>
              <w:t xml:space="preserve">    ACT --&gt; INTERCEPTOR</w:t>
              <w:br/>
              <w:t xml:space="preserve">    INTERCEPTOR --&gt; HASH</w:t>
              <w:br/>
              <w:t xml:space="preserve">    HASH --&gt; DB_AUDIT</w:t>
              <w:br/>
              <w:t xml:space="preserve">    DB_AUDIT --&gt;|Nightly Flush| WORM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Audit Trail Schema Specification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The </w:t>
      </w:r>
      <w:r>
        <w:rPr>
          <w:rFonts w:ascii="Consolas" w:hAnsi="Consolas"/>
          <w:color w:val="801515"/>
          <w:sz w:val="18"/>
        </w:rPr>
        <w:t>ulms.audit_entry</w:t>
      </w:r>
      <w:r>
        <w:rPr>
          <w:rFonts w:ascii="Segoe UI" w:hAnsi="Segoe UI"/>
          <w:color w:val="2D3748"/>
          <w:sz w:val="19"/>
        </w:rPr>
        <w:t xml:space="preserve"> table (</w:t>
      </w:r>
      <w:r>
        <w:rPr>
          <w:rFonts w:ascii="Consolas" w:hAnsi="Consolas"/>
          <w:color w:val="801515"/>
          <w:sz w:val="18"/>
        </w:rPr>
        <w:t>V1__init.sql</w:t>
      </w:r>
      <w:r>
        <w:rPr>
          <w:rFonts w:ascii="Segoe UI" w:hAnsi="Segoe UI"/>
          <w:color w:val="2D3748"/>
          <w:sz w:val="19"/>
        </w:rPr>
        <w:t>) captures complete audit provenance: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Nullable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id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BIGSERIAL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NO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Monotonically increasing primary key.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event_id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UUID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NO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Global unique identifier for event tracing.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occurred_at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TIMESTAMPTZ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NO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Hardware timestamp (synchronized via NTP to stratum-1).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actor_id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VARCHAR(100)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NO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Keycloak user subject ID (</w:t>
            </w:r>
            <w:r>
              <w:rPr>
                <w:rFonts w:ascii="Consolas" w:hAnsi="Consolas"/>
                <w:color w:val="801515"/>
                <w:sz w:val="16"/>
              </w:rPr>
              <w:t>sub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actor_username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VARCHAR(100)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NO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Staff username (e.g., </w:t>
            </w:r>
            <w:r>
              <w:rPr>
                <w:rFonts w:ascii="Consolas" w:hAnsi="Consolas"/>
                <w:color w:val="801515"/>
                <w:sz w:val="16"/>
              </w:rPr>
              <w:t>bm.motijheel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actor_ip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VARCHAR(45)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NO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IPv4/IPv6 client address from </w:t>
            </w:r>
            <w:r>
              <w:rPr>
                <w:rFonts w:ascii="Consolas" w:hAnsi="Consolas"/>
                <w:color w:val="801515"/>
                <w:sz w:val="16"/>
              </w:rPr>
              <w:t>X-Forwarded-For</w:t>
            </w:r>
            <w:r>
              <w:rPr>
                <w:rFonts w:ascii="Segoe UI" w:hAnsi="Segoe UI"/>
                <w:color w:val="2D3748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action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VARCHAR(50)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NO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CREATE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UPDATE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APPROVE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REJECT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OVERRIDE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LOGIN</w:t>
            </w:r>
            <w:r>
              <w:rPr>
                <w:rFonts w:ascii="Segoe UI" w:hAnsi="Segoe UI"/>
                <w:color w:val="2D3748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entity_type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VARCHAR(50)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NO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APPLICATION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LOAN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COLLATERAL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USER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PRODUCT</w:t>
            </w:r>
            <w:r>
              <w:rPr>
                <w:rFonts w:ascii="Segoe UI" w:hAnsi="Segoe UI"/>
                <w:color w:val="2D3748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entity_id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VARCHAR(100)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NO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Identifier of the affected domain object.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before_state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JSONB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YES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Entity state prior to change (null for creation).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after_state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JSONB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YES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Entity state following change.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prev_hash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VARCHAR(64)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NO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SHA-256 hash of the immediately preceding audit record.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record_hash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VARCHAR(64)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NO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HMAC-SHA256 signature of this record including </w:t>
            </w:r>
            <w:r>
              <w:rPr>
                <w:rFonts w:ascii="Consolas" w:hAnsi="Consolas"/>
                <w:color w:val="801515"/>
                <w:sz w:val="16"/>
              </w:rPr>
              <w:t>prev_hash</w:t>
            </w:r>
            <w:r>
              <w:rPr>
                <w:rFonts w:ascii="Segoe UI" w:hAnsi="Segoe UI"/>
                <w:color w:val="2D3748"/>
                <w:sz w:val="17"/>
              </w:rPr>
              <w:t>.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3. Cryptographic Verification &amp; Audit Integrity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Field-level before/after JSON diffs tracking credit limit overrides and approval sign-offs.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loan36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Loan Account 360 Full Lifecycle Audit History &amp; Diffs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Field-level before/after JSON diffs tracking credit limit overrides and approval sign-offs.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3.1 Tamper-Detection Algorithm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An automated daily cron job audits the chain integrity: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sql</w:t>
              <w:br/>
            </w:r>
            <w:r>
              <w:rPr>
                <w:rFonts w:ascii="Consolas" w:hAnsi="Consolas"/>
                <w:color w:val="1A202C"/>
                <w:sz w:val="17"/>
              </w:rPr>
              <w:t>-- Detect any broken link in the HMAC-SHA256 hash chain</w:t>
              <w:br/>
              <w:t>WITH RankedAudit AS (</w:t>
              <w:br/>
              <w:t xml:space="preserve">    SELECT id, prev_hash, record_hash,</w:t>
              <w:br/>
              <w:t xml:space="preserve">           LAG(record_hash, 1) OVER (ORDER BY id) as expected_prev_hash</w:t>
              <w:br/>
              <w:t xml:space="preserve">    FROM ulms.audit_entry</w:t>
              <w:br/>
              <w:t>)</w:t>
              <w:br/>
              <w:t xml:space="preserve">SELECT * FROM RankedAudit </w:t>
              <w:br/>
              <w:t>WHERE prev_hash != expected_prev_hash AND expected_prev_hash IS NOT NULL;</w:t>
            </w:r>
          </w:p>
        </w:tc>
      </w:tr>
    </w:tbl>
    <w:p>
      <w:pPr>
        <w:spacing w:before="4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If any row has been modified, deleted, or inserted out of order, the query returns immediate discrepancies, triggering an automated critical SRE alert.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0_staff_logi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Enterprise Authentication &amp; Non-Repudiation Session Capture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Keycloak 26 session bindings capturing client IP, user-agent, and digital signature headers.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DOC-01-ARCH-07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