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DOC-01-ARCH-08: REST API Reference &amp; RFC 9457 Problem Details Specification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DOC-01-ARCH-08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rest_api_reference_and_rfc9457_error_model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[frontend_developer, backend_developer, api_consumer, integration_architect, qa_engineer]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DOC-01-ARCH-08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DOC-01-ARCH-08: REST API Reference &amp; RFC 9457 Problem Details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Headless and browser-driven endpoint verification ensuring zero dead routes.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selfte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Automated Route Health Harness &amp; RFC 9457 Diagnostic Suite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Headless and browser-driven endpoint verification ensuring zero dead routes.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REST API Reference &amp; RFC 9457 Problem Details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API Architecture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API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LMS_CODEBASE/packages/openapi/ulms-api.yaml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Technology_Stack_Recommendation_v3.md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IETF RFC 9457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Target Codebase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c:\software_project\mim_project\LMS\LMS_CODEBASE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Executive API Architecture &amp; Transport Standards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Unified ingress routing across micro-modules with standardized payload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API Gateway &amp; Service Directory Architecture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Unified ingress routing across micro-modules with standardized payload validation.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The ULMS v2.0 REST API serves as the programmatic backbone for all banking channels: the React 19 Staff Application, the Borrower Portal, the Field Officer Mobile Application, and external Core Banking System (CBS) connectors.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Architectural Standards: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Base URI: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https://api.ulms.bank.com.bd/api/v1</w:t>
      </w:r>
      <w:r>
        <w:rPr>
          <w:rFonts w:ascii="Segoe UI" w:hAnsi="Segoe UI"/>
          <w:color w:val="2D3748"/>
          <w:sz w:val="19"/>
        </w:rPr>
        <w:t xml:space="preserve"> (Production) / </w:t>
      </w:r>
      <w:r>
        <w:rPr>
          <w:rFonts w:ascii="Consolas" w:hAnsi="Consolas"/>
          <w:color w:val="801515"/>
          <w:sz w:val="18"/>
        </w:rPr>
        <w:t>http://localhost:8081/api/v1</w:t>
      </w:r>
      <w:r>
        <w:rPr>
          <w:rFonts w:ascii="Segoe UI" w:hAnsi="Segoe UI"/>
          <w:color w:val="2D3748"/>
          <w:sz w:val="19"/>
        </w:rPr>
        <w:t xml:space="preserve"> (Local Dev)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Content-Type: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application/json; charset=utf-8</w:t>
      </w:r>
      <w:r>
        <w:rPr>
          <w:rFonts w:ascii="Segoe UI" w:hAnsi="Segoe UI"/>
          <w:color w:val="2D3748"/>
          <w:sz w:val="19"/>
        </w:rPr>
        <w:t xml:space="preserve"> (Requests &amp; Responses)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Error Model:</w:t>
      </w:r>
      <w:r>
        <w:rPr>
          <w:rFonts w:ascii="Segoe UI" w:hAnsi="Segoe UI"/>
          <w:color w:val="2D3748"/>
          <w:sz w:val="19"/>
        </w:rPr>
        <w:t xml:space="preserve"> </w:t>
      </w:r>
      <w:r>
        <w:rPr>
          <w:rFonts w:ascii="Consolas" w:hAnsi="Consolas"/>
          <w:color w:val="801515"/>
          <w:sz w:val="18"/>
        </w:rPr>
        <w:t>application/problem+json</w:t>
      </w:r>
      <w:r>
        <w:rPr>
          <w:rFonts w:ascii="Segoe UI" w:hAnsi="Segoe UI"/>
          <w:color w:val="2D3748"/>
          <w:sz w:val="19"/>
        </w:rPr>
        <w:t xml:space="preserve"> conforming to </w:t>
      </w:r>
      <w:r>
        <w:rPr>
          <w:rFonts w:ascii="Segoe UI" w:hAnsi="Segoe UI"/>
          <w:b/>
          <w:color w:val="2D3748"/>
          <w:sz w:val="19"/>
        </w:rPr>
        <w:t>IETF RFC 9457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Authentication:</w:t>
      </w:r>
      <w:r>
        <w:rPr>
          <w:rFonts w:ascii="Segoe UI" w:hAnsi="Segoe UI"/>
          <w:color w:val="2D3748"/>
          <w:sz w:val="19"/>
        </w:rPr>
        <w:t xml:space="preserve"> OAuth 2.0 / OpenID Connect Bearer Tokens issued by Keycloak 26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Transport Security:</w:t>
      </w:r>
      <w:r>
        <w:rPr>
          <w:rFonts w:ascii="Segoe UI" w:hAnsi="Segoe UI"/>
          <w:color w:val="2D3748"/>
          <w:sz w:val="19"/>
        </w:rPr>
        <w:t xml:space="preserve"> Strict TLS 1.3 with forward secrecy; mutual TLS (mTLS) for external banking rails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Idempotency Key &amp; Safe Mutation Protocol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 guarantee that network drops or retry storms never cause duplicate loan disbursements or multiple repayment postings, all mutating operations (</w:t>
      </w:r>
      <w:r>
        <w:rPr>
          <w:rFonts w:ascii="Consolas" w:hAnsi="Consolas"/>
          <w:color w:val="801515"/>
          <w:sz w:val="18"/>
        </w:rPr>
        <w:t>POST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PUT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DELETE</w:t>
      </w:r>
      <w:r>
        <w:rPr>
          <w:rFonts w:ascii="Segoe UI" w:hAnsi="Segoe UI"/>
          <w:color w:val="2D3748"/>
          <w:sz w:val="19"/>
        </w:rPr>
        <w:t>) require a unique client-generated UUIDv4 idempotency key in the HTTP request header: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http</w:t>
              <w:br/>
            </w:r>
            <w:r>
              <w:rPr>
                <w:rFonts w:ascii="Consolas" w:hAnsi="Consolas"/>
                <w:color w:val="1A202C"/>
                <w:sz w:val="17"/>
              </w:rPr>
              <w:t>POST /api/v1/servicing/disbursements HTTP/1.1</w:t>
              <w:br/>
              <w:t>Host: api.ulms.bank.com.bd</w:t>
              <w:br/>
              <w:t>Authorization: Bearer eyJhbGciOiJSUzI1NiIsInR5cCI6IkpXVCJ9...</w:t>
              <w:br/>
              <w:t>Idempotency-Key: 9b1deb4d-3b7d-4bad-9bdd-2b0d7b3dcb6d</w:t>
              <w:br/>
              <w:t>Content-Type: application/json</w:t>
            </w:r>
          </w:p>
        </w:tc>
      </w:tr>
    </w:tbl>
    <w:p>
      <w:pPr>
        <w:spacing w:before="4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Server-Side Idempotency Processing Flow: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Cache Inspection:</w:t>
      </w:r>
      <w:r>
        <w:rPr>
          <w:rFonts w:ascii="Segoe UI" w:hAnsi="Segoe UI"/>
          <w:color w:val="2D3748"/>
          <w:sz w:val="19"/>
        </w:rPr>
        <w:t xml:space="preserve"> The API Gateway / Spring Filter hashes </w:t>
      </w:r>
      <w:r>
        <w:rPr>
          <w:rFonts w:ascii="Consolas" w:hAnsi="Consolas"/>
          <w:color w:val="801515"/>
          <w:sz w:val="18"/>
        </w:rPr>
        <w:t>(Idempotency-Key, Caller-Principal)</w:t>
      </w:r>
      <w:r>
        <w:rPr>
          <w:rFonts w:ascii="Segoe UI" w:hAnsi="Segoe UI"/>
          <w:color w:val="2D3748"/>
          <w:sz w:val="19"/>
        </w:rPr>
        <w:t xml:space="preserve"> and queries Redis.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First Arrival:</w:t>
      </w:r>
      <w:r>
        <w:rPr>
          <w:rFonts w:ascii="Segoe UI" w:hAnsi="Segoe UI"/>
          <w:color w:val="2D3748"/>
          <w:sz w:val="19"/>
        </w:rPr>
        <w:t xml:space="preserve"> If unrecorded, an </w:t>
      </w:r>
      <w:r>
        <w:rPr>
          <w:rFonts w:ascii="Consolas" w:hAnsi="Consolas"/>
          <w:color w:val="801515"/>
          <w:sz w:val="18"/>
        </w:rPr>
        <w:t>IN_PROGRESS</w:t>
      </w:r>
      <w:r>
        <w:rPr>
          <w:rFonts w:ascii="Segoe UI" w:hAnsi="Segoe UI"/>
          <w:color w:val="2D3748"/>
          <w:sz w:val="19"/>
        </w:rPr>
        <w:t xml:space="preserve"> lock is set with a 120-second TTL, and request execution proceeds.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Subsequent Replay:</w:t>
      </w:r>
      <w:r>
        <w:rPr>
          <w:rFonts w:ascii="Segoe UI" w:hAnsi="Segoe UI"/>
          <w:color w:val="2D3748"/>
          <w:sz w:val="19"/>
        </w:rPr>
        <w:t xml:space="preserve"> If an identical key arrives while </w:t>
      </w:r>
      <w:r>
        <w:rPr>
          <w:rFonts w:ascii="Consolas" w:hAnsi="Consolas"/>
          <w:color w:val="801515"/>
          <w:sz w:val="18"/>
        </w:rPr>
        <w:t>IN_PROGRESS</w:t>
      </w:r>
      <w:r>
        <w:rPr>
          <w:rFonts w:ascii="Segoe UI" w:hAnsi="Segoe UI"/>
          <w:color w:val="2D3748"/>
          <w:sz w:val="19"/>
        </w:rPr>
        <w:t>, HTTP 425 Too Early is returned. If already completed, the cached response payload and HTTP status code are returned verbatim without re-executing business logic.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Comprehensive Subsystem Endpoint Catalog (285 Total Endpoints)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Authoritative registry of 285 banking endpoints spanning origination to regulatory returns.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16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_endpoi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16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REST API Catalog &amp; OpenAPI Specification Contract Grid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Authoritative registry of 285 banking endpoints spanning origination to regulatory returns.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3.1 Customer Management Subsystem (`/api/v1/customers`)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&amp; Purpose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Roles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/customers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Search customer master register with pagination &amp; filters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teller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checker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/customers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Onboard new retail or SME customer entity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branch-maker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/customers/{id}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Retrieve comprehensive Customer 360 profile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credit-analyst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PUT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/customers/{id}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Update customer demographic and financial particulars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/customers/{id}/ekyc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Initiate automated Election Commission NIDW verification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branch-maker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/customers/{id}/loans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List all historical and active loan accounts for customer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teller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3.2 Loan Origination Subsystem (`/api/v1/applications`)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&amp; Purpose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Roles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/applications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List loan origination pipeline with Kanban stage filters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branch-manager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/applications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Create new loan application draft for selected product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branch-maker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/applications/{id}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Fetch full loan application details including wizard steps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credit-analyst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PUT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/applications/{id}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Save progressive draft data during underwriting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/applications/{id}/submit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Submit application to credit assessment queue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branch-maker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/applications/{id}/collateral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Attach and evaluate pledged immovable/movable assets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credit-analyst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3.3 Credit Assessment &amp; Underwriting Subsystem (`/api/v1/assessment`)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&amp; Purpose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Roles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/assessment/{appId}/cib-inquiry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Request live Bangladesh Bank CIB credit report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credit-analyst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underwriter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/assessment/{appId}/cib-report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Retrieve parsed CIB inquiry results &amp; contract history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credit-analyst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underwriter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/assessment/{appId}/scorecard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Execute automated 50/30/20 credit risk scorecard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credit-analyst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system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/assessment/{appId}/dbr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Calculate real-time Debt Burden Ratio (DBR) metric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credit-analyst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/assessment/{appId}/recommendation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Record underwriter formal credit assessment memo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credit-analyst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underwriter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3.4 Approval Ladder Subsystem (`/api/v1/approval`)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&amp; Purpose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Roles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/approval/queue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List pending approval tasks scoped to user delegated limit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branch-manager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crm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md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/approval/tasks/{taskId}/approve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 application and forward to next committee tier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branch-manager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crm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bocc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/approval/tasks/{taskId}/reject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Formally reject application with structured rejection code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branch-manager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crm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bocc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/approval/tasks/{taskId}/refer-back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Return application to maker for clarification/documents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branch-manager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crm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/approval/tasks/{taskId}/sanction-letter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Generate signed sanction letter with terms &amp; covenants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branch-manager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crm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3.5 Servicing, Repayment &amp; Disbursement Subsystem (`/api/v1/servicing`, `/loans`)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&amp; Purpose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Roles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/servicing/disbursements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Authorize and execute loan fund disbursement to CBS/MFS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disbursement-maker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disbursement-checker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/loans/{loanId}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Retrieve Loan 360 overview, balances, and next installment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teller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loan-officer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/loans/{loanId}/schedule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Get full projected and actual amortization schedule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teller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borrower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/servicing/payments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Record manual or teller cash/cheque repayment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teller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cashier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/servicing/webhooks/mfs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Ingest asynchronous bKash / Nagad / Rocket payment events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mfs-service-account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/servicing/prepayment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Calculate and execute partial or full early settlement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teller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3.6 Regulatory Compliance &amp; Classification Subsystem (`/api/v1/compliance`)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&amp; Purpose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Required Roles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/compliance/classification/board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Retrieve real-time 7-stage BRPD 15/2024 portfolio matrix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risk-head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/compliance/eod/run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Trigger on-demand or date-bound EOD classification batch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system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/compliance/reports/cib-monthly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Export Bangladesh Bank monthly CIB text statement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compliance-officer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GET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/compliance/reports/cl-returns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Generate statutory CL-1 through CL-5 regulatory reports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cfo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POST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/compliance/overrides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Apply High Court stay order or qualitative classification freeze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compliance-officer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legal-head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Representative JSON Request &amp; Response Payloads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4.1 Loan Origination Submission (`POST /api/v1/applications`)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Request: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json</w:t>
              <w:br/>
            </w:r>
            <w:r>
              <w:rPr>
                <w:rFonts w:ascii="Consolas" w:hAnsi="Consolas"/>
                <w:color w:val="1A202C"/>
                <w:sz w:val="17"/>
              </w:rPr>
              <w:t>{</w:t>
              <w:br/>
              <w:t xml:space="preserve">  "customerId": "8f3b2e10-4c28-4e89-a29d-d82047392104",</w:t>
              <w:br/>
              <w:t xml:space="preserve">  "productId": "PRD-RET-HOME-001",</w:t>
              <w:br/>
              <w:t xml:space="preserve">  "requestedAmount": 3500000.00,</w:t>
              <w:br/>
              <w:t xml:space="preserve">  "tenorMonths": 60,</w:t>
              <w:br/>
              <w:t xml:space="preserve">  "interestRate": 9.00,</w:t>
              <w:br/>
              <w:t xml:space="preserve">  "disbursementChannel": "CBS_ACCOUNT_TRANSFER",</w:t>
              <w:br/>
              <w:t xml:space="preserve">  "repaymentFrequency": "MONTHLY",</w:t>
              <w:br/>
              <w:t xml:space="preserve">  "collateral": {</w:t>
              <w:br/>
              <w:t xml:space="preserve">    "collateralType": "IMMOVABLE_REAL_ESTATE",</w:t>
              <w:br/>
              <w:t xml:space="preserve">    "marketValue": 5500000.00,</w:t>
              <w:br/>
              <w:t xml:space="preserve">    "forcedSaleValue": 4400000.00,</w:t>
              <w:br/>
              <w:t xml:space="preserve">    "propertyAddress": "Plot 42, Road 11, Dhanmondi, Dhaka-1209"</w:t>
              <w:br/>
              <w:t xml:space="preserve">  }</w:t>
              <w:br/>
              <w:t>}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Response (HTTP 201 Created):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json</w:t>
              <w:br/>
            </w:r>
            <w:r>
              <w:rPr>
                <w:rFonts w:ascii="Consolas" w:hAnsi="Consolas"/>
                <w:color w:val="1A202C"/>
                <w:sz w:val="17"/>
              </w:rPr>
              <w:t>{</w:t>
              <w:br/>
              <w:t xml:space="preserve">  "applicationId": "c928410b-11cc-429a-b456-9902b3c4d511",</w:t>
              <w:br/>
              <w:t xml:space="preserve">  "applicationNumber": "APP-2026-DHN-00421",</w:t>
              <w:br/>
              <w:t xml:space="preserve">  "status": "ASSESSMENT_PENDING",</w:t>
              <w:br/>
              <w:t xml:space="preserve">  "calculatedEmi": 72658.42,</w:t>
              <w:br/>
              <w:t xml:space="preserve">  "calculatedDbr": 42.15,</w:t>
              <w:br/>
              <w:t xml:space="preserve">  "dbrStatus": "COMPLIANT",</w:t>
              <w:br/>
              <w:t xml:space="preserve">  "ltvRatio": 63.64,</w:t>
              <w:br/>
              <w:t xml:space="preserve">  "createdAt": "2026-10-07T14:45:10.120Z",</w:t>
              <w:br/>
              <w:t xml:space="preserve">  "nextAction": "CREDIT_ASSESSMENT"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5. RFC 9457 Problem Details Error Contract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When a request violates business rules or security constraints, the API returns a structured Problem Details payload: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json</w:t>
              <w:br/>
            </w:r>
            <w:r>
              <w:rPr>
                <w:rFonts w:ascii="Consolas" w:hAnsi="Consolas"/>
                <w:color w:val="1A202C"/>
                <w:sz w:val="17"/>
              </w:rPr>
              <w:t>{</w:t>
              <w:br/>
              <w:t xml:space="preserve">  "type": "https://api.ulms.bank.com.bd/errors/ULMS-VAL-0001",</w:t>
              <w:br/>
              <w:t xml:space="preserve">  "title": "Unprocessable Entity",</w:t>
              <w:br/>
              <w:t xml:space="preserve">  "status": 422,</w:t>
              <w:br/>
              <w:t xml:space="preserve">  "detail": "Calculated Debt Burden Ratio (DBR) 54.2% exceeds maximum regulatory ceiling of 50.0%.",</w:t>
              <w:br/>
              <w:t xml:space="preserve">  "instance": "/api/v1/applications/c928410b-11cc-429a-b456-9902b3c4d511/submit",</w:t>
              <w:br/>
              <w:t xml:space="preserve">  "code": "ULMS-VAL-0001",</w:t>
              <w:br/>
              <w:t xml:space="preserve">  "timestamp": "2026-10-07T14:46:12.890Z",</w:t>
              <w:br/>
              <w:t xml:space="preserve">  "invalidParams": [</w:t>
              <w:br/>
              <w:t xml:space="preserve">    {</w:t>
              <w:br/>
              <w:t xml:space="preserve">      "name": "requestedAmount",</w:t>
              <w:br/>
              <w:t xml:space="preserve">      "reason": "Produces monthly EMI of BDT 72,658.42 pushing total monthly commitments above 50% net income"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4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REST API Reference &amp; RFC 9457 Problem Details Specification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DOC-01-ARCH-08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