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003366"/>
            <w:tcMar>
              <w:top w:w="260" w:type="dxa"/>
              <w:bottom w:w="260" w:type="dxa"/>
              <w:left w:w="300" w:type="dxa"/>
              <w:right w:w="300" w:type="dxa"/>
            </w:tcMar>
            <w:tcBorders>
              <w:top w:val="single" w:sz="6" w:space="0" w:color="003366"/>
              <w:left w:val="single" w:sz="24" w:space="0" w:color="D4AF37"/>
              <w:bottom w:val="single" w:sz="18" w:space="0" w:color="D4AF37"/>
              <w:right w:val="single" w:sz="6" w:space="0" w:color="003366"/>
            </w:tcBorders>
          </w:tcPr>
          <w:p>
            <w:pPr>
              <w:spacing w:before="0" w:after="80"/>
            </w:pPr>
            <w:r>
              <w:rPr>
                <w:rFonts w:ascii="Segoe UI" w:hAnsi="Segoe UI"/>
                <w:b/>
                <w:color w:val="D4AF37"/>
                <w:sz w:val="19"/>
              </w:rPr>
              <w:t>UNISOFT LOAN MANAGEMENT SYSTEM (ULMS v2.0) · 02 TROUBLESHOOTING</w:t>
              <w:br/>
            </w:r>
            <w:r>
              <w:rPr>
                <w:rFonts w:ascii="Segoe UI" w:hAnsi="Segoe UI"/>
                <w:b/>
                <w:color w:val="FFFFFF"/>
                <w:sz w:val="34"/>
              </w:rPr>
              <w:t>DOC-02-TS-05: Nightly EOD Batch &amp; Classification Diagnostic Guide</w:t>
              <w:br/>
            </w:r>
            <w:r>
              <w:rPr>
                <w:rFonts w:ascii="Segoe UI" w:hAnsi="Segoe UI"/>
                <w:i/>
                <w:color w:val="CBD5E0"/>
                <w:sz w:val="17"/>
              </w:rPr>
              <w:t>Document ID: DOC-02-TS-05  ·  Standard: Diátaxis / C4 Model  ·  Bangladesh Bank Compliant</w:t>
            </w:r>
          </w:p>
        </w:tc>
      </w:tr>
    </w:tbl>
    <w:p>
      <w:pPr>
        <w:spacing w:before="80" w:after="80"/>
      </w:pPr>
    </w:p>
    <w:p>
      <w:pPr>
        <w:spacing w:before="0" w:after="80" w:line="276" w:lineRule="auto"/>
      </w:pPr>
      <w:r>
        <w:rPr>
          <w:rFonts w:ascii="Segoe UI" w:hAnsi="Segoe UI"/>
          <w:color w:val="2D3748"/>
          <w:sz w:val="19"/>
        </w:rPr>
        <w:t>type: how-to</w:t>
      </w:r>
    </w:p>
    <w:p>
      <w:pPr>
        <w:spacing w:before="0" w:after="80" w:line="276" w:lineRule="auto"/>
      </w:pPr>
      <w:r>
        <w:rPr>
          <w:rFonts w:ascii="Segoe UI" w:hAnsi="Segoe UI"/>
          <w:color w:val="2D3748"/>
          <w:sz w:val="19"/>
        </w:rPr>
        <w:t>topic: eod_batch_and_classification_diagnostics</w:t>
      </w:r>
    </w:p>
    <w:p>
      <w:pPr>
        <w:spacing w:before="0" w:after="80" w:line="276" w:lineRule="auto"/>
      </w:pPr>
      <w:r>
        <w:rPr>
          <w:rFonts w:ascii="Segoe UI" w:hAnsi="Segoe UI"/>
          <w:color w:val="2D3748"/>
          <w:sz w:val="19"/>
        </w:rPr>
        <w:t>target_audience: [sre, batch_operator, compliance_officer, dba, risk_analyst]</w:t>
      </w:r>
    </w:p>
    <w:p>
      <w:pPr>
        <w:spacing w:before="0" w:after="80" w:line="276" w:lineRule="auto"/>
      </w:pPr>
      <w:r>
        <w:rPr>
          <w:rFonts w:ascii="Segoe UI" w:hAnsi="Segoe UI"/>
          <w:color w:val="2D3748"/>
          <w:sz w:val="19"/>
        </w:rPr>
        <w:t>version: 2026.10</w:t>
      </w:r>
    </w:p>
    <w:p>
      <w:pPr>
        <w:spacing w:before="0" w:after="80" w:line="276" w:lineRule="auto"/>
      </w:pPr>
      <w:r>
        <w:rPr>
          <w:rFonts w:ascii="Segoe UI" w:hAnsi="Segoe UI"/>
          <w:color w:val="2D3748"/>
          <w:sz w:val="19"/>
        </w:rPr>
        <w:t>document_id: DOC-02-TS-05</w:t>
      </w:r>
    </w:p>
    <w:p>
      <w:pPr>
        <w:keepNext/>
        <w:spacing w:before="280" w:after="80"/>
      </w:pPr>
      <w:r>
        <w:rPr>
          <w:rFonts w:ascii="Segoe UI" w:hAnsi="Segoe UI"/>
          <w:b/>
          <w:color w:val="003366"/>
          <w:sz w:val="29"/>
        </w:rPr>
        <w:t>DOC-02-TS-05: Nightly EOD Batch &amp; Classification Diagnostic Guide</w:t>
      </w:r>
    </w:p>
    <w:p>
      <w:pPr>
        <w:spacing w:before="0" w:after="80" w:line="276" w:lineRule="auto"/>
      </w:pPr>
      <w:r>
        <w:rPr>
          <w:rFonts w:ascii="Segoe UI" w:hAnsi="Segoe UI"/>
          <w:b/>
          <w:color w:val="2D3748"/>
          <w:sz w:val="19"/>
        </w:rPr>
        <w:t>Document Control</w:t>
      </w:r>
    </w:p>
    <w:tbl>
      <w:tblPr>
        <w:tblW w:type="auto" w:w="0"/>
        <w:jc w:val="center"/>
        <w:tblLayout w:type="fixed"/>
        <w:tblLook w:firstColumn="1" w:firstRow="1" w:lastColumn="0" w:lastRow="0" w:noHBand="0" w:noVBand="1" w:val="04A0"/>
      </w:tblPr>
      <w:tblGrid>
        <w:gridCol w:w="4680"/>
        <w:gridCol w:w="4680"/>
      </w:tblGrid>
      <w:tr>
        <w:trPr>
          <w:tblHeader/>
        </w:trPr>
        <w:tc>
          <w:tcPr>
            <w:tcW w:type="dxa" w:w="4680"/>
            <w:tcW w:w="4680"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Field</w:t>
            </w:r>
          </w:p>
        </w:tc>
        <w:tc>
          <w:tcPr>
            <w:tcW w:type="dxa" w:w="4680"/>
            <w:tcW w:w="4680"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Value</w:t>
            </w:r>
          </w:p>
        </w:tc>
      </w:tr>
      <w:tr>
        <w:trPr>
          <w:cantSplit/>
        </w:trPr>
        <w:tc>
          <w:tcPr>
            <w:tcW w:type="dxa" w:w="4680"/>
            <w:tcW w:w="468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Document Title</w:t>
            </w:r>
          </w:p>
        </w:tc>
        <w:tc>
          <w:tcPr>
            <w:tcW w:type="dxa" w:w="4680"/>
            <w:tcW w:w="468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Nightly EOD Batch &amp; Classification Diagnostic Guide</w:t>
            </w:r>
          </w:p>
        </w:tc>
      </w:tr>
      <w:tr>
        <w:trPr>
          <w:cantSplit/>
        </w:trPr>
        <w:tc>
          <w:tcPr>
            <w:tcW w:type="dxa" w:w="4680"/>
            <w:tcW w:w="468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Project Name</w:t>
            </w:r>
          </w:p>
        </w:tc>
        <w:tc>
          <w:tcPr>
            <w:tcW w:type="dxa" w:w="4680"/>
            <w:tcW w:w="468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Unisoft Loan Management System (ULMS v2.0)</w:t>
            </w:r>
          </w:p>
        </w:tc>
      </w:tr>
      <w:tr>
        <w:trPr>
          <w:cantSplit/>
        </w:trPr>
        <w:tc>
          <w:tcPr>
            <w:tcW w:type="dxa" w:w="4680"/>
            <w:tcW w:w="468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Document Version</w:t>
            </w:r>
          </w:p>
        </w:tc>
        <w:tc>
          <w:tcPr>
            <w:tcW w:type="dxa" w:w="4680"/>
            <w:tcW w:w="468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3.0.0</w:t>
            </w:r>
          </w:p>
        </w:tc>
      </w:tr>
      <w:tr>
        <w:trPr>
          <w:cantSplit/>
        </w:trPr>
        <w:tc>
          <w:tcPr>
            <w:tcW w:type="dxa" w:w="4680"/>
            <w:tcW w:w="468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Date</w:t>
            </w:r>
          </w:p>
        </w:tc>
        <w:tc>
          <w:tcPr>
            <w:tcW w:type="dxa" w:w="4680"/>
            <w:tcW w:w="468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2026-10-07</w:t>
            </w:r>
          </w:p>
        </w:tc>
      </w:tr>
      <w:tr>
        <w:trPr>
          <w:cantSplit/>
        </w:trPr>
        <w:tc>
          <w:tcPr>
            <w:tcW w:type="dxa" w:w="4680"/>
            <w:tcW w:w="468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Classification</w:t>
            </w:r>
          </w:p>
        </w:tc>
        <w:tc>
          <w:tcPr>
            <w:tcW w:type="dxa" w:w="4680"/>
            <w:tcW w:w="468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Operational Troubleshooting Guide</w:t>
            </w:r>
          </w:p>
        </w:tc>
      </w:tr>
      <w:tr>
        <w:trPr>
          <w:cantSplit/>
        </w:trPr>
        <w:tc>
          <w:tcPr>
            <w:tcW w:type="dxa" w:w="4680"/>
            <w:tcW w:w="468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Status</w:t>
            </w:r>
          </w:p>
        </w:tc>
        <w:tc>
          <w:tcPr>
            <w:tcW w:type="dxa" w:w="4680"/>
            <w:tcW w:w="468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Approved Master Troubleshooting Guide</w:t>
            </w:r>
          </w:p>
        </w:tc>
      </w:tr>
      <w:tr>
        <w:trPr>
          <w:cantSplit/>
        </w:trPr>
        <w:tc>
          <w:tcPr>
            <w:tcW w:type="dxa" w:w="4680"/>
            <w:tcW w:w="468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Authority Chain</w:t>
            </w:r>
          </w:p>
        </w:tc>
        <w:tc>
          <w:tcPr>
            <w:tcW w:type="dxa" w:w="4680"/>
            <w:tcW w:w="468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LMS_CODEBASE/docs/runbooks/RB-03_eod_rerun.md</w:t>
            </w:r>
            <w:r>
              <w:rPr>
                <w:rFonts w:ascii="Segoe UI" w:hAnsi="Segoe UI"/>
                <w:color w:val="2D3748"/>
                <w:sz w:val="17"/>
              </w:rPr>
              <w:t xml:space="preserve"> → </w:t>
            </w:r>
            <w:r>
              <w:rPr>
                <w:rFonts w:ascii="Consolas" w:hAnsi="Consolas"/>
                <w:color w:val="801515"/>
                <w:sz w:val="16"/>
              </w:rPr>
              <w:t>LMS_CODEBASE/apps/api/src/main/java/com/uslbd/ulms/compliance/EodBatchService.java</w:t>
            </w:r>
            <w:r>
              <w:rPr>
                <w:rFonts w:ascii="Segoe UI" w:hAnsi="Segoe UI"/>
                <w:color w:val="2D3748"/>
                <w:sz w:val="17"/>
              </w:rPr>
              <w:t xml:space="preserve"> → </w:t>
            </w:r>
            <w:r>
              <w:rPr>
                <w:rFonts w:ascii="Consolas" w:hAnsi="Consolas"/>
                <w:color w:val="801515"/>
                <w:sz w:val="16"/>
              </w:rPr>
              <w:t>Bangladesh Bank BRPD Circular 15/2024</w:t>
            </w:r>
          </w:p>
        </w:tc>
      </w:tr>
      <w:tr>
        <w:trPr>
          <w:cantSplit/>
        </w:trPr>
        <w:tc>
          <w:tcPr>
            <w:tcW w:type="dxa" w:w="4680"/>
            <w:tcW w:w="468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Target Codebase</w:t>
            </w:r>
          </w:p>
        </w:tc>
        <w:tc>
          <w:tcPr>
            <w:tcW w:type="dxa" w:w="4680"/>
            <w:tcW w:w="468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c:\software_project\mim_project\LMS\LMS_CODEBASE</w:t>
            </w:r>
          </w:p>
        </w:tc>
      </w:tr>
    </w:tbl>
    <w:p>
      <w:pPr>
        <w:spacing w:before="80" w:after="80"/>
      </w:pPr>
    </w:p>
    <w:p>
      <w:pPr>
        <w:spacing w:before="160" w:after="40"/>
      </w:pPr>
      <w:r>
        <w:rPr>
          <w:rFonts w:ascii="Segoe UI" w:hAnsi="Segoe UI"/>
          <w:b/>
          <w:color w:val="1A365D"/>
          <w:sz w:val="22"/>
        </w:rPr>
        <w:t>Document Revision History &amp; Institutional Sign-Off</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985"/>
            <w:tcW w:w="985"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Version</w:t>
            </w:r>
          </w:p>
        </w:tc>
        <w:tc>
          <w:tcPr>
            <w:tcW w:type="dxa" w:w="1379"/>
            <w:tcW w:w="1379"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Release Date</w:t>
            </w:r>
          </w:p>
        </w:tc>
        <w:tc>
          <w:tcPr>
            <w:tcW w:type="dxa" w:w="1971"/>
            <w:tcW w:w="1971"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Author / Role</w:t>
            </w:r>
          </w:p>
        </w:tc>
        <w:tc>
          <w:tcPr>
            <w:tcW w:type="dxa" w:w="3547"/>
            <w:tcW w:w="3547"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Summary of Technical Changes</w:t>
            </w:r>
          </w:p>
        </w:tc>
        <w:tc>
          <w:tcPr>
            <w:tcW w:type="dxa" w:w="1478"/>
            <w:tcW w:w="1478"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Status</w:t>
            </w:r>
          </w:p>
        </w:tc>
      </w:tr>
      <w:tr>
        <w:trPr>
          <w:cantSplit/>
        </w:trPr>
        <w:tc>
          <w:tcPr>
            <w:tcW w:type="dxa" w:w="985"/>
            <w:tcW w:w="985"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1.0.0</w:t>
            </w:r>
          </w:p>
        </w:tc>
        <w:tc>
          <w:tcPr>
            <w:tcW w:type="dxa" w:w="1379"/>
            <w:tcW w:w="1379"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January 2026</w:t>
            </w:r>
          </w:p>
        </w:tc>
        <w:tc>
          <w:tcPr>
            <w:tcW w:type="dxa" w:w="1971"/>
            <w:tcW w:w="1971"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Documentation Core Team</w:t>
            </w:r>
          </w:p>
        </w:tc>
        <w:tc>
          <w:tcPr>
            <w:tcW w:type="dxa" w:w="3547"/>
            <w:tcW w:w="3547"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Initial BRD &amp; Architecture Specification</w:t>
            </w:r>
          </w:p>
        </w:tc>
        <w:tc>
          <w:tcPr>
            <w:tcW w:type="dxa" w:w="1478"/>
            <w:tcW w:w="1478"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Draft</w:t>
            </w:r>
          </w:p>
        </w:tc>
      </w:tr>
      <w:tr>
        <w:trPr>
          <w:cantSplit/>
        </w:trPr>
        <w:tc>
          <w:tcPr>
            <w:tcW w:type="dxa" w:w="985"/>
            <w:tcW w:w="985"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2.0.0</w:t>
            </w:r>
          </w:p>
        </w:tc>
        <w:tc>
          <w:tcPr>
            <w:tcW w:type="dxa" w:w="1379"/>
            <w:tcW w:w="1379"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February 2026</w:t>
            </w:r>
          </w:p>
        </w:tc>
        <w:tc>
          <w:tcPr>
            <w:tcW w:type="dxa" w:w="1971"/>
            <w:tcW w:w="1971"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Principal Systems Architect</w:t>
            </w:r>
          </w:p>
        </w:tc>
        <w:tc>
          <w:tcPr>
            <w:tcW w:type="dxa" w:w="3547"/>
            <w:tcW w:w="3547"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Apache Fineract &amp; Spring Boot Monolith Alignment</w:t>
            </w:r>
          </w:p>
        </w:tc>
        <w:tc>
          <w:tcPr>
            <w:tcW w:type="dxa" w:w="1478"/>
            <w:tcW w:w="1478"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Approved</w:t>
            </w:r>
          </w:p>
        </w:tc>
      </w:tr>
      <w:tr>
        <w:trPr>
          <w:cantSplit/>
        </w:trPr>
        <w:tc>
          <w:tcPr>
            <w:tcW w:type="dxa" w:w="985"/>
            <w:tcW w:w="985"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3.0.0</w:t>
            </w:r>
          </w:p>
        </w:tc>
        <w:tc>
          <w:tcPr>
            <w:tcW w:type="dxa" w:w="1379"/>
            <w:tcW w:w="1379"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October 2026</w:t>
            </w:r>
          </w:p>
        </w:tc>
        <w:tc>
          <w:tcPr>
            <w:tcW w:type="dxa" w:w="1971"/>
            <w:tcW w:w="1971"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Principal Auditor &amp; SRE Lead</w:t>
            </w:r>
          </w:p>
        </w:tc>
        <w:tc>
          <w:tcPr>
            <w:tcW w:type="dxa" w:w="3547"/>
            <w:tcW w:w="3547"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Production Build Parity &amp; Zero-Trust Audit Release</w:t>
            </w:r>
          </w:p>
        </w:tc>
        <w:tc>
          <w:tcPr>
            <w:tcW w:type="dxa" w:w="1478"/>
            <w:tcW w:w="1478"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Master Approved</w:t>
            </w:r>
          </w:p>
        </w:tc>
      </w:tr>
    </w:tbl>
    <w:p>
      <w:pPr>
        <w:spacing w:before="80" w:after="80"/>
      </w:pPr>
    </w:p>
    <w:p>
      <w:pPr>
        <w:spacing w:before="240" w:after="80"/>
      </w:pPr>
      <w:r>
        <w:rPr>
          <w:rFonts w:ascii="Segoe UI" w:hAnsi="Segoe UI"/>
          <w:b/>
          <w:color w:val="003366"/>
          <w:sz w:val="28"/>
        </w:rPr>
        <w:t>Table of Contents</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single" w:sz="4" w:space="0" w:color="003366"/>
              <w:left w:val="single" w:sz="24" w:space="0" w:color="003366"/>
              <w:bottom w:val="single" w:sz="4" w:space="0" w:color="003366"/>
              <w:right w:val="single" w:sz="4" w:space="0" w:color="003366"/>
            </w:tcBorders>
          </w:tcPr>
          <w:p>
            <w:pPr>
              <w:spacing w:before="0" w:after="40"/>
            </w:pPr>
            <w:r>
              <w:rPr>
                <w:rFonts w:ascii="Segoe UI" w:hAnsi="Segoe UI"/>
                <w:b/>
                <w:color w:val="003366"/>
                <w:sz w:val="19"/>
              </w:rPr>
              <w:t xml:space="preserve">[NOTE]  </w:t>
            </w:r>
            <w:r>
              <w:rPr>
                <w:rFonts w:ascii="Segoe UI" w:hAnsi="Segoe UI"/>
                <w:color w:val="2D3748"/>
                <w:sz w:val="19"/>
              </w:rPr>
              <w:t>This document contains an automated Microsoft Word field. In Microsoft Word or LibreOffice, right-click this table and select 'Update Field' (or press F9) to refresh section page numbers.</w:t>
            </w:r>
          </w:p>
        </w:tc>
      </w:tr>
    </w:tbl>
    <w:p>
      <w:pPr>
        <w:spacing w:before="40" w:after="80"/>
      </w:pPr>
    </w:p>
    <w:p>
      <w:pPr>
        <w:spacing w:before="120" w:after="240"/>
      </w:pPr>
      <w:r>
        <w:fldChar w:fldCharType="begin"/>
        <w:instrText xml:space="preserve"> TOC \o "1-3" \h \z \u </w:instrText>
        <w:fldChar w:fldCharType="separate"/>
        <w:fldChar w:fldCharType="end"/>
      </w:r>
    </w:p>
    <w:p>
      <w:r>
        <w:br w:type="page"/>
      </w:r>
    </w:p>
    <w:p>
      <w:pPr>
        <w:keepNext/>
        <w:spacing w:before="200" w:after="60"/>
      </w:pPr>
      <w:r>
        <w:rPr>
          <w:rFonts w:ascii="Segoe UI" w:hAnsi="Segoe UI"/>
          <w:b/>
          <w:color w:val="1A365D"/>
          <w:sz w:val="24"/>
        </w:rPr>
        <w:t>1. Executive Overview &amp; Batch Rhythm (23:30 BST SLA)</w:t>
      </w:r>
    </w:p>
    <w:p>
      <w:pPr>
        <w:spacing w:before="0" w:after="80" w:line="276" w:lineRule="auto"/>
      </w:pPr>
      <w:r>
        <w:rPr>
          <w:rFonts w:ascii="Segoe UI" w:hAnsi="Segoe UI"/>
          <w:color w:val="2D3748"/>
          <w:sz w:val="19"/>
        </w:rPr>
        <w:t>As illustrated in Figure 1 below, 7-stage classification pipeline (STD-0 to B/L) with real-time provisioning calculations.</w:t>
      </w:r>
    </w:p>
    <w:tbl>
      <w:tblPr>
        <w:tblW w:type="auto" w:w="0"/>
        <w:jc w:val="center"/>
        <w:tblLayout w:type="fixed"/>
        <w:tblLook w:firstColumn="1" w:firstRow="1" w:lastColumn="0" w:lastRow="0" w:noHBand="0" w:noVBand="1" w:val="04A0"/>
      </w:tblPr>
      <w:tblGrid>
        <w:gridCol w:w="9360"/>
      </w:tblGrid>
      <w:tr>
        <w:tc>
          <w:tcPr>
            <w:tcW w:type="dxa" w:w="9360"/>
            <w:shd w:fill="FAFAFA"/>
            <w:tcMar>
              <w:top w:w="120" w:type="dxa"/>
              <w:bottom w:w="120" w:type="dxa"/>
              <w:left w:w="120" w:type="dxa"/>
              <w:right w:w="120" w:type="dxa"/>
            </w:tcMar>
            <w:tcBorders>
              <w:top w:val="single" w:sz="8" w:space="0" w:color="CBD5E0"/>
              <w:left w:val="single" w:sz="8" w:space="0" w:color="CBD5E0"/>
              <w:bottom w:val="single" w:sz="8" w:space="0" w:color="CBD5E0"/>
              <w:right w:val="single" w:sz="8" w:space="0" w:color="CBD5E0"/>
            </w:tcBorders>
          </w:tcPr>
          <w:p>
            <w:pPr>
              <w:spacing w:before="80" w:after="8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s03_classification.png"/>
                          <pic:cNvPicPr/>
                        </pic:nvPicPr>
                        <pic:blipFill>
                          <a:blip r:embed="rId11"/>
                          <a:stretch>
                            <a:fillRect/>
                          </a:stretch>
                        </pic:blipFill>
                        <pic:spPr>
                          <a:xfrm>
                            <a:off x="0" y="0"/>
                            <a:ext cx="5669280" cy="3188970"/>
                          </a:xfrm>
                          <a:prstGeom prst="rect"/>
                        </pic:spPr>
                      </pic:pic>
                    </a:graphicData>
                  </a:graphic>
                </wp:inline>
              </w:drawing>
            </w:r>
          </w:p>
        </w:tc>
      </w:tr>
    </w:tbl>
    <w:p>
      <w:pPr>
        <w:keepNext/>
        <w:spacing w:before="60" w:after="20"/>
        <w:jc w:val="center"/>
      </w:pPr>
      <w:r>
        <w:rPr>
          <w:rFonts w:ascii="Segoe UI" w:hAnsi="Segoe UI"/>
          <w:b/>
          <w:color w:val="003366"/>
          <w:sz w:val="18"/>
        </w:rPr>
        <w:t>Figure 1: Production BRPD Circular 15/2024 Loan Classification Board</w:t>
      </w:r>
    </w:p>
    <w:p>
      <w:pPr>
        <w:spacing w:before="0" w:after="160"/>
        <w:jc w:val="center"/>
      </w:pPr>
      <w:r>
        <w:rPr>
          <w:rFonts w:ascii="Segoe UI" w:hAnsi="Segoe UI"/>
          <w:i/>
          <w:color w:val="718096"/>
          <w:sz w:val="16"/>
        </w:rPr>
        <w:t>7-stage classification pipeline (STD-0 to B/L) with real-time provisioning calculations.</w:t>
      </w:r>
    </w:p>
    <w:p>
      <w:pPr>
        <w:spacing w:before="0" w:after="80" w:line="276" w:lineRule="auto"/>
      </w:pPr>
      <w:r>
        <w:rPr>
          <w:rFonts w:ascii="Segoe UI" w:hAnsi="Segoe UI"/>
          <w:color w:val="2D3748"/>
          <w:sz w:val="19"/>
        </w:rPr>
        <w:t xml:space="preserve">Every night at </w:t>
      </w:r>
      <w:r>
        <w:rPr>
          <w:rFonts w:ascii="Segoe UI" w:hAnsi="Segoe UI"/>
          <w:b/>
          <w:color w:val="2D3748"/>
          <w:sz w:val="19"/>
        </w:rPr>
        <w:t>23:30 Bangladesh Standard Time (BST)</w:t>
      </w:r>
      <w:r>
        <w:rPr>
          <w:rFonts w:ascii="Segoe UI" w:hAnsi="Segoe UI"/>
          <w:color w:val="2D3748"/>
          <w:sz w:val="19"/>
        </w:rPr>
        <w:t>, the ULMS automated End-of-Day (EOD) batch service evaluates all active loans across the bank's portfolio. The batch job enforces statutory classification, calculates required loan loss provisioning in poisha, and generates balanced accounting journal vouchers (JVs) for the general ledger.</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0"/>
              <w:left w:val="single" w:sz="6" w:space="0" w:color="CBD5E0"/>
              <w:bottom w:val="single" w:sz="6" w:space="0" w:color="CBD5E0"/>
              <w:right w:val="single" w:sz="6" w:space="0" w:color="CBD5E0"/>
            </w:tcBorders>
          </w:tcPr>
          <w:p>
            <w:pPr>
              <w:spacing w:before="0" w:after="0" w:line="252" w:lineRule="auto"/>
            </w:pPr>
            <w:r>
              <w:rPr>
                <w:rFonts w:ascii="Consolas" w:hAnsi="Consolas"/>
                <w:b/>
                <w:color w:val="718096"/>
                <w:sz w:val="16"/>
              </w:rPr>
              <w:t>// Language: mermaid</w:t>
              <w:br/>
            </w:r>
            <w:r>
              <w:rPr>
                <w:rFonts w:ascii="Consolas" w:hAnsi="Consolas"/>
                <w:color w:val="1A202C"/>
                <w:sz w:val="17"/>
              </w:rPr>
              <w:t>[MERMAID ARCHITECTURE SPECIFICATION]</w:t>
              <w:br/>
              <w:t>flowchart TD</w:t>
              <w:br/>
              <w:t xml:space="preserve">    subgraph EOD_Pipeline ["Nightly EOD Batch Execution Pipeline (23:30 BST)"]</w:t>
              <w:br/>
              <w:t xml:space="preserve">        P1["Phase 1: DPD Recalculation&lt;br/&gt;Compare due dates against system EOD date&lt;br/&gt;Calculate exact overdue days per loan"]</w:t>
              <w:br/>
              <w:t xml:space="preserve">        P2["Phase 2: BRPD 15/2024 Classification&lt;br/&gt;Evaluate 7-stage classification rules&lt;br/&gt;Check for qualitative overrides &amp; stay orders"]</w:t>
              <w:br/>
              <w:t xml:space="preserve">        P3["Phase 3: Statutory Provisioning&lt;br/&gt;Apply rates (1%, 5%, 20%, 50%, 100%)&lt;br/&gt;Calculate base provision &amp; net provisions in poisha"]</w:t>
              <w:br/>
              <w:t xml:space="preserve">        P4["Phase 4: History Snapshot&lt;br/&gt;Insert immutable records into&lt;br/&gt;ulms_app.classification_history"]</w:t>
              <w:br/>
              <w:t xml:space="preserve">        P5["Phase 5: Fineract GL Journal Entry&lt;br/&gt;Prepare balanced zero-sum JV&lt;br/&gt;Post provision delta to General Ledger"]</w:t>
              <w:br/>
              <w:t xml:space="preserve">    end</w:t>
              <w:br/>
              <w:t xml:space="preserve">    P1 --&gt; P2 --&gt; P3 --&gt; P4 --&gt; P5</w:t>
            </w:r>
          </w:p>
        </w:tc>
      </w:tr>
    </w:tbl>
    <w:p>
      <w:pPr>
        <w:spacing w:before="40" w:after="80"/>
      </w:pPr>
    </w:p>
    <w:p>
      <w:pPr>
        <w:keepNext/>
        <w:spacing w:before="160" w:after="40"/>
      </w:pPr>
      <w:r>
        <w:rPr>
          <w:rFonts w:ascii="Segoe UI" w:hAnsi="Segoe UI"/>
          <w:b/>
          <w:color w:val="2B6CB0"/>
          <w:sz w:val="21"/>
        </w:rPr>
        <w:t>Batch SLA &amp; Performance Thresholds</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Execution Window:</w:t>
      </w:r>
      <w:r>
        <w:rPr>
          <w:rFonts w:ascii="Segoe UI" w:hAnsi="Segoe UI"/>
          <w:color w:val="2D3748"/>
          <w:sz w:val="19"/>
        </w:rPr>
        <w:t xml:space="preserve"> 23:30 BST to 00:15 BST (Maximum 45 minutes for 500,000 active loans).</w:t>
      </w:r>
    </w:p>
    <w:p>
      <w:pPr>
        <w:spacing w:before="0" w:after="40" w:line="276" w:lineRule="auto"/>
        <w:ind w:left="360"/>
      </w:pPr>
      <w:r>
        <w:rPr>
          <w:rFonts w:ascii="Segoe UI" w:hAnsi="Segoe UI"/>
          <w:color w:val="003366"/>
          <w:sz w:val="19"/>
        </w:rPr>
        <w:t xml:space="preserve">•  </w:t>
      </w:r>
      <w:r>
        <w:rPr>
          <w:rFonts w:ascii="Segoe UI" w:hAnsi="Segoe UI"/>
          <w:b/>
          <w:color w:val="2D3748"/>
          <w:sz w:val="19"/>
        </w:rPr>
        <w:t>Critical Threshold Alert:</w:t>
      </w:r>
      <w:r>
        <w:rPr>
          <w:rFonts w:ascii="Segoe UI" w:hAnsi="Segoe UI"/>
          <w:color w:val="2D3748"/>
          <w:sz w:val="19"/>
        </w:rPr>
        <w:t xml:space="preserve"> Prometheus triggers </w:t>
      </w:r>
      <w:r>
        <w:rPr>
          <w:rFonts w:ascii="Consolas" w:hAnsi="Consolas"/>
          <w:color w:val="801515"/>
          <w:sz w:val="18"/>
        </w:rPr>
        <w:t>EodBatchDurationExceeded</w:t>
      </w:r>
      <w:r>
        <w:rPr>
          <w:rFonts w:ascii="Segoe UI" w:hAnsi="Segoe UI"/>
          <w:color w:val="2D3748"/>
          <w:sz w:val="19"/>
        </w:rPr>
        <w:t xml:space="preserve"> if batch execution exceeds 45 minutes.</w:t>
      </w:r>
    </w:p>
    <w:p>
      <w:pPr>
        <w:spacing w:before="0" w:after="40" w:line="276" w:lineRule="auto"/>
        <w:ind w:left="360"/>
      </w:pPr>
      <w:r>
        <w:rPr>
          <w:rFonts w:ascii="Segoe UI" w:hAnsi="Segoe UI"/>
          <w:color w:val="003366"/>
          <w:sz w:val="19"/>
        </w:rPr>
        <w:t xml:space="preserve">•  </w:t>
      </w:r>
      <w:r>
        <w:rPr>
          <w:rFonts w:ascii="Segoe UI" w:hAnsi="Segoe UI"/>
          <w:b/>
          <w:color w:val="2D3748"/>
          <w:sz w:val="19"/>
        </w:rPr>
        <w:t>Transaction Chunk Size:</w:t>
      </w:r>
      <w:r>
        <w:rPr>
          <w:rFonts w:ascii="Segoe UI" w:hAnsi="Segoe UI"/>
          <w:color w:val="2D3748"/>
          <w:sz w:val="19"/>
        </w:rPr>
        <w:t xml:space="preserve"> Evaluated in cursor-based batches of 1,000 loans per transaction to prevent memory saturation and excessive row locks.</w:t>
      </w:r>
    </w:p>
    <w:p>
      <w:pPr>
        <w:keepNext/>
        <w:spacing w:before="200" w:after="60"/>
      </w:pPr>
      <w:r>
        <w:rPr>
          <w:rFonts w:ascii="Segoe UI" w:hAnsi="Segoe UI"/>
          <w:b/>
          <w:color w:val="1A365D"/>
          <w:sz w:val="24"/>
        </w:rPr>
        <w:t>2. Common Failure Modes &amp; SRE Diagnostic Decision Trees</w:t>
      </w:r>
    </w:p>
    <w:p>
      <w:pPr>
        <w:spacing w:before="0" w:after="80" w:line="276" w:lineRule="auto"/>
      </w:pPr>
      <w:r>
        <w:rPr>
          <w:rFonts w:ascii="Segoe UI" w:hAnsi="Segoe UI"/>
          <w:color w:val="2D3748"/>
          <w:sz w:val="19"/>
        </w:rPr>
        <w:t>As illustrated in Figure 2 below, Nightly batch staging board displaying automated classification transitions.</w:t>
      </w:r>
    </w:p>
    <w:tbl>
      <w:tblPr>
        <w:tblW w:type="auto" w:w="0"/>
        <w:jc w:val="center"/>
        <w:tblLayout w:type="fixed"/>
        <w:tblLook w:firstColumn="1" w:firstRow="1" w:lastColumn="0" w:lastRow="0" w:noHBand="0" w:noVBand="1" w:val="04A0"/>
      </w:tblPr>
      <w:tblGrid>
        <w:gridCol w:w="9360"/>
      </w:tblGrid>
      <w:tr>
        <w:tc>
          <w:tcPr>
            <w:tcW w:type="dxa" w:w="9360"/>
            <w:shd w:fill="FAFAFA"/>
            <w:tcMar>
              <w:top w:w="120" w:type="dxa"/>
              <w:bottom w:w="120" w:type="dxa"/>
              <w:left w:w="120" w:type="dxa"/>
              <w:right w:w="120" w:type="dxa"/>
            </w:tcMar>
            <w:tcBorders>
              <w:top w:val="single" w:sz="8" w:space="0" w:color="CBD5E0"/>
              <w:left w:val="single" w:sz="8" w:space="0" w:color="CBD5E0"/>
              <w:bottom w:val="single" w:sz="8" w:space="0" w:color="CBD5E0"/>
              <w:right w:val="single" w:sz="8" w:space="0" w:color="CBD5E0"/>
            </w:tcBorders>
          </w:tcPr>
          <w:p>
            <w:pPr>
              <w:spacing w:before="80" w:after="8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7_bbrd.png"/>
                          <pic:cNvPicPr/>
                        </pic:nvPicPr>
                        <pic:blipFill>
                          <a:blip r:embed="rId12"/>
                          <a:stretch>
                            <a:fillRect/>
                          </a:stretch>
                        </pic:blipFill>
                        <pic:spPr>
                          <a:xfrm>
                            <a:off x="0" y="0"/>
                            <a:ext cx="5669280" cy="3543300"/>
                          </a:xfrm>
                          <a:prstGeom prst="rect"/>
                        </pic:spPr>
                      </pic:pic>
                    </a:graphicData>
                  </a:graphic>
                </wp:inline>
              </w:drawing>
            </w:r>
          </w:p>
        </w:tc>
      </w:tr>
    </w:tbl>
    <w:p>
      <w:pPr>
        <w:keepNext/>
        <w:spacing w:before="60" w:after="20"/>
        <w:jc w:val="center"/>
      </w:pPr>
      <w:r>
        <w:rPr>
          <w:rFonts w:ascii="Segoe UI" w:hAnsi="Segoe UI"/>
          <w:b/>
          <w:color w:val="003366"/>
          <w:sz w:val="18"/>
        </w:rPr>
        <w:t>Figure 2: Bangladesh Bank Regulatory Reporting &amp; Days Past Due (DPD) Aging Board</w:t>
      </w:r>
    </w:p>
    <w:p>
      <w:pPr>
        <w:spacing w:before="0" w:after="160"/>
        <w:jc w:val="center"/>
      </w:pPr>
      <w:r>
        <w:rPr>
          <w:rFonts w:ascii="Segoe UI" w:hAnsi="Segoe UI"/>
          <w:i/>
          <w:color w:val="718096"/>
          <w:sz w:val="16"/>
        </w:rPr>
        <w:t>Nightly batch staging board displaying automated classification transitions.</w:t>
      </w:r>
    </w:p>
    <w:p>
      <w:pPr>
        <w:keepNext/>
        <w:spacing w:before="160" w:after="40"/>
      </w:pPr>
      <w:r>
        <w:rPr>
          <w:rFonts w:ascii="Segoe UI" w:hAnsi="Segoe UI"/>
          <w:b/>
          <w:color w:val="2B6CB0"/>
          <w:sz w:val="21"/>
        </w:rPr>
        <w:t>Failure Mode 1: Batch Stalled Due to Database Row Lock Contention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Symptom:</w:t>
      </w:r>
      <w:r>
        <w:rPr>
          <w:rFonts w:ascii="Segoe UI" w:hAnsi="Segoe UI"/>
          <w:color w:val="2D3748"/>
          <w:sz w:val="19"/>
        </w:rPr>
        <w:t xml:space="preserve"> Batch progress stops; log output freezes at a specific chunk; </w:t>
      </w:r>
      <w:r>
        <w:rPr>
          <w:rFonts w:ascii="Consolas" w:hAnsi="Consolas"/>
          <w:color w:val="801515"/>
          <w:sz w:val="18"/>
        </w:rPr>
        <w:t>EodBatchDurationExceeded</w:t>
      </w:r>
      <w:r>
        <w:rPr>
          <w:rFonts w:ascii="Segoe UI" w:hAnsi="Segoe UI"/>
          <w:color w:val="2D3748"/>
          <w:sz w:val="19"/>
        </w:rPr>
        <w:t xml:space="preserve"> alert fires.</w:t>
      </w:r>
    </w:p>
    <w:p>
      <w:pPr>
        <w:spacing w:before="0" w:after="40" w:line="276" w:lineRule="auto"/>
        <w:ind w:left="360"/>
      </w:pPr>
      <w:r>
        <w:rPr>
          <w:rFonts w:ascii="Segoe UI" w:hAnsi="Segoe UI"/>
          <w:color w:val="003366"/>
          <w:sz w:val="19"/>
        </w:rPr>
        <w:t xml:space="preserve">•  </w:t>
      </w:r>
      <w:r>
        <w:rPr>
          <w:rFonts w:ascii="Segoe UI" w:hAnsi="Segoe UI"/>
          <w:b/>
          <w:color w:val="2D3748"/>
          <w:sz w:val="19"/>
        </w:rPr>
        <w:t>Root Cause:</w:t>
      </w:r>
      <w:r>
        <w:rPr>
          <w:rFonts w:ascii="Segoe UI" w:hAnsi="Segoe UI"/>
          <w:color w:val="2D3748"/>
          <w:sz w:val="19"/>
        </w:rPr>
        <w:t xml:space="preserve"> A long-running analytical query or uncommitted interactive transaction holds an exclusive lock on </w:t>
      </w:r>
      <w:r>
        <w:rPr>
          <w:rFonts w:ascii="Consolas" w:hAnsi="Consolas"/>
          <w:color w:val="801515"/>
          <w:sz w:val="18"/>
        </w:rPr>
        <w:t>customers</w:t>
      </w:r>
      <w:r>
        <w:rPr>
          <w:rFonts w:ascii="Segoe UI" w:hAnsi="Segoe UI"/>
          <w:color w:val="2D3748"/>
          <w:sz w:val="19"/>
        </w:rPr>
        <w:t xml:space="preserve"> or </w:t>
      </w:r>
      <w:r>
        <w:rPr>
          <w:rFonts w:ascii="Consolas" w:hAnsi="Consolas"/>
          <w:color w:val="801515"/>
          <w:sz w:val="18"/>
        </w:rPr>
        <w:t>loans</w:t>
      </w:r>
      <w:r>
        <w:rPr>
          <w:rFonts w:ascii="Segoe UI" w:hAnsi="Segoe UI"/>
          <w:color w:val="2D3748"/>
          <w:sz w:val="19"/>
        </w:rPr>
        <w:t>.</w:t>
      </w:r>
    </w:p>
    <w:p>
      <w:pPr>
        <w:spacing w:before="0" w:after="40" w:line="276" w:lineRule="auto"/>
        <w:ind w:left="360"/>
      </w:pPr>
      <w:r>
        <w:rPr>
          <w:rFonts w:ascii="Segoe UI" w:hAnsi="Segoe UI"/>
          <w:color w:val="003366"/>
          <w:sz w:val="19"/>
        </w:rPr>
        <w:t xml:space="preserve">•  </w:t>
      </w:r>
      <w:r>
        <w:rPr>
          <w:rFonts w:ascii="Segoe UI" w:hAnsi="Segoe UI"/>
          <w:b/>
          <w:color w:val="2D3748"/>
          <w:sz w:val="19"/>
        </w:rPr>
        <w:t>Triage Query:</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0"/>
              <w:left w:val="single" w:sz="6" w:space="0" w:color="CBD5E0"/>
              <w:bottom w:val="single" w:sz="6" w:space="0" w:color="CBD5E0"/>
              <w:right w:val="single" w:sz="6" w:space="0" w:color="CBD5E0"/>
            </w:tcBorders>
          </w:tcPr>
          <w:p>
            <w:pPr>
              <w:spacing w:before="0" w:after="0" w:line="252" w:lineRule="auto"/>
            </w:pPr>
            <w:r>
              <w:rPr>
                <w:rFonts w:ascii="Consolas" w:hAnsi="Consolas"/>
                <w:b/>
                <w:color w:val="718096"/>
                <w:sz w:val="16"/>
              </w:rPr>
              <w:t>// Language: sql</w:t>
              <w:br/>
            </w:r>
            <w:r>
              <w:rPr>
                <w:rFonts w:ascii="Consolas" w:hAnsi="Consolas"/>
                <w:color w:val="1A202C"/>
                <w:sz w:val="17"/>
              </w:rPr>
              <w:t xml:space="preserve">  SELECT </w:t>
              <w:br/>
              <w:t xml:space="preserve">    blocked_locks.pid     AS blocked_pid,</w:t>
              <w:br/>
              <w:t xml:space="preserve">    blocked_activity.usename  AS blocked_user,</w:t>
              <w:br/>
              <w:t xml:space="preserve">    blocking_locks.pid    AS blocking_pid,</w:t>
              <w:br/>
              <w:t xml:space="preserve">    blocking_activity.usename AS blocking_user,</w:t>
              <w:br/>
              <w:t xml:space="preserve">    blocking_activity.query   AS blocking_statement,</w:t>
              <w:br/>
              <w:t xml:space="preserve">    now() - blocking_activity.query_start AS blocking_duration</w:t>
              <w:br/>
              <w:t xml:space="preserve">  FROM  pg_catalog.pg_locks         blocked_locks</w:t>
              <w:br/>
              <w:t xml:space="preserve">  JOIN pg_catalog.pg_stat_activity blocked_activity ON blocked_activity.pid = blocked_locks.pid</w:t>
              <w:br/>
              <w:t xml:space="preserve">  JOIN pg_catalog.pg_locks         blocking_locks </w:t>
              <w:br/>
              <w:t xml:space="preserve">      ON blocking_locks.locktype = blocked_locks.locktype</w:t>
              <w:br/>
              <w:t xml:space="preserve">      AND blocking_locks.database IS NOT DISTINCT FROM blocked_locks.database</w:t>
              <w:br/>
              <w:t xml:space="preserve">      AND blocking_locks.relation IS NOT DISTINCT FROM blocked_locks.relation</w:t>
              <w:br/>
              <w:t xml:space="preserve">      AND blocking_locks.page IS NOT DISTINCT FROM blocked_locks.page</w:t>
              <w:br/>
              <w:t xml:space="preserve">      AND blocking_locks.tuple IS NOT DISTINCT FROM blocked_locks.tuple</w:t>
              <w:br/>
              <w:t xml:space="preserve">      AND blocking_locks.virtualxid IS NOT DISTINCT FROM blocked_locks.virtualxid</w:t>
              <w:br/>
              <w:t xml:space="preserve">      AND blocking_locks.transactionid IS NOT DISTINCT FROM blocked_locks.transactionid</w:t>
              <w:br/>
              <w:t xml:space="preserve">      AND blocking_locks.classid IS NOT DISTINCT FROM blocked_locks.classid</w:t>
              <w:br/>
              <w:t xml:space="preserve">      AND blocking_locks.objid IS NOT DISTINCT FROM blocked_locks.objid</w:t>
              <w:br/>
              <w:t xml:space="preserve">      AND blocking_locks.objsubid IS NOT DISTINCT FROM blocked_locks.objsubid</w:t>
              <w:br/>
              <w:t xml:space="preserve">      AND blocking_locks.pid != blocked_locks.pid</w:t>
              <w:br/>
              <w:t xml:space="preserve">  JOIN pg_catalog.pg_stat_activity blocking_activity ON blocking_activity.pid = blocking_locks.pid</w:t>
              <w:br/>
              <w:t xml:space="preserve">  WHERE NOT blocked_locks.granted;</w:t>
            </w:r>
          </w:p>
        </w:tc>
      </w:tr>
    </w:tbl>
    <w:p>
      <w:pPr>
        <w:spacing w:before="40" w:after="80"/>
      </w:pPr>
    </w:p>
    <w:p>
      <w:pPr>
        <w:spacing w:before="0" w:after="40" w:line="276" w:lineRule="auto"/>
        <w:ind w:left="360"/>
      </w:pPr>
      <w:r>
        <w:rPr>
          <w:rFonts w:ascii="Segoe UI" w:hAnsi="Segoe UI"/>
          <w:color w:val="003366"/>
          <w:sz w:val="19"/>
        </w:rPr>
        <w:t xml:space="preserve">•  </w:t>
      </w:r>
      <w:r>
        <w:rPr>
          <w:rFonts w:ascii="Segoe UI" w:hAnsi="Segoe UI"/>
          <w:b/>
          <w:color w:val="2D3748"/>
          <w:sz w:val="19"/>
        </w:rPr>
        <w:t>Remediation Action:</w:t>
      </w:r>
    </w:p>
    <w:p>
      <w:pPr>
        <w:spacing w:before="0" w:after="40" w:line="276" w:lineRule="auto"/>
        <w:ind w:left="360"/>
      </w:pPr>
      <w:r>
        <w:rPr>
          <w:rFonts w:ascii="Segoe UI" w:hAnsi="Segoe UI"/>
          <w:b/>
          <w:color w:val="003366"/>
          <w:sz w:val="19"/>
        </w:rPr>
        <w:t xml:space="preserve">1. </w:t>
      </w:r>
      <w:r>
        <w:rPr>
          <w:rFonts w:ascii="Segoe UI" w:hAnsi="Segoe UI"/>
          <w:color w:val="2D3748"/>
          <w:sz w:val="19"/>
        </w:rPr>
        <w:t>Identify the blocking query PID. If it is an unapproved ad-hoc reporting query, terminate it safely:</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0"/>
              <w:left w:val="single" w:sz="6" w:space="0" w:color="CBD5E0"/>
              <w:bottom w:val="single" w:sz="6" w:space="0" w:color="CBD5E0"/>
              <w:right w:val="single" w:sz="6" w:space="0" w:color="CBD5E0"/>
            </w:tcBorders>
          </w:tcPr>
          <w:p>
            <w:pPr>
              <w:spacing w:before="0" w:after="0" w:line="252" w:lineRule="auto"/>
            </w:pPr>
            <w:r>
              <w:rPr>
                <w:rFonts w:ascii="Consolas" w:hAnsi="Consolas"/>
                <w:b/>
                <w:color w:val="718096"/>
                <w:sz w:val="16"/>
              </w:rPr>
              <w:t>// Language: sql</w:t>
              <w:br/>
            </w:r>
            <w:r>
              <w:rPr>
                <w:rFonts w:ascii="Consolas" w:hAnsi="Consolas"/>
                <w:color w:val="1A202C"/>
                <w:sz w:val="17"/>
              </w:rPr>
              <w:t xml:space="preserve">  SELECT pg_cancel_backend($BLOCKING_PID);</w:t>
              <w:br/>
              <w:t xml:space="preserve">  -- If still hung after 30 seconds:</w:t>
              <w:br/>
              <w:t xml:space="preserve">  SELECT pg_terminate_backend($BLOCKING_PID);</w:t>
            </w:r>
          </w:p>
        </w:tc>
      </w:tr>
    </w:tbl>
    <w:p>
      <w:pPr>
        <w:spacing w:before="40" w:after="80"/>
      </w:pPr>
    </w:p>
    <w:p>
      <w:pPr>
        <w:spacing w:before="0" w:after="40" w:line="276" w:lineRule="auto"/>
        <w:ind w:left="360"/>
      </w:pPr>
      <w:r>
        <w:rPr>
          <w:rFonts w:ascii="Segoe UI" w:hAnsi="Segoe UI"/>
          <w:b/>
          <w:color w:val="003366"/>
          <w:sz w:val="19"/>
        </w:rPr>
        <w:t xml:space="preserve">2. </w:t>
      </w:r>
      <w:r>
        <w:rPr>
          <w:rFonts w:ascii="Segoe UI" w:hAnsi="Segoe UI"/>
          <w:color w:val="2D3748"/>
          <w:sz w:val="19"/>
        </w:rPr>
        <w:t>The batch worker will resume automatically once the lock is cleared.</w:t>
      </w:r>
    </w:p>
    <w:p>
      <w:pPr>
        <w:keepNext/>
        <w:spacing w:before="160" w:after="40"/>
      </w:pPr>
      <w:r>
        <w:rPr>
          <w:rFonts w:ascii="Segoe UI" w:hAnsi="Segoe UI"/>
          <w:b/>
          <w:color w:val="2B6CB0"/>
          <w:sz w:val="21"/>
        </w:rPr>
        <w:t>Failure Mode 2: Fineract GL Posting Rejection (The 409 Conflict Drifted JV Trap)</w:t>
      </w:r>
    </w:p>
    <w:p>
      <w:pPr>
        <w:spacing w:before="0" w:after="40" w:line="276" w:lineRule="auto"/>
        <w:ind w:left="360"/>
      </w:pPr>
      <w:r>
        <w:rPr>
          <w:rFonts w:ascii="Segoe UI" w:hAnsi="Segoe UI"/>
          <w:color w:val="003366"/>
          <w:sz w:val="19"/>
        </w:rPr>
        <w:t xml:space="preserve">•  </w:t>
      </w:r>
      <w:r>
        <w:rPr>
          <w:rFonts w:ascii="Segoe UI" w:hAnsi="Segoe UI"/>
          <w:b/>
          <w:color w:val="2D3748"/>
          <w:sz w:val="19"/>
        </w:rPr>
        <w:t>Symptom:</w:t>
      </w:r>
      <w:r>
        <w:rPr>
          <w:rFonts w:ascii="Segoe UI" w:hAnsi="Segoe UI"/>
          <w:color w:val="2D3748"/>
          <w:sz w:val="19"/>
        </w:rPr>
        <w:t xml:space="preserve"> Phases 1–4 succeed, but Phase 5 fails with </w:t>
      </w:r>
      <w:r>
        <w:rPr>
          <w:rFonts w:ascii="Consolas" w:hAnsi="Consolas"/>
          <w:color w:val="801515"/>
          <w:sz w:val="18"/>
        </w:rPr>
        <w:t>HTTP 409 Conflict: Provision JV already posted for batch date</w:t>
      </w:r>
      <w:r>
        <w:rPr>
          <w:rFonts w:ascii="Segoe UI" w:hAnsi="Segoe UI"/>
          <w:color w:val="2D3748"/>
          <w:sz w:val="19"/>
        </w:rPr>
        <w:t>.</w:t>
      </w:r>
    </w:p>
    <w:p>
      <w:pPr>
        <w:spacing w:before="0" w:after="40" w:line="276" w:lineRule="auto"/>
        <w:ind w:left="360"/>
      </w:pPr>
      <w:r>
        <w:rPr>
          <w:rFonts w:ascii="Segoe UI" w:hAnsi="Segoe UI"/>
          <w:color w:val="003366"/>
          <w:sz w:val="19"/>
        </w:rPr>
        <w:t xml:space="preserve">•  </w:t>
      </w:r>
      <w:r>
        <w:rPr>
          <w:rFonts w:ascii="Segoe UI" w:hAnsi="Segoe UI"/>
          <w:b/>
          <w:color w:val="2D3748"/>
          <w:sz w:val="19"/>
        </w:rPr>
        <w:t>Root Cause:</w:t>
      </w:r>
      <w:r>
        <w:rPr>
          <w:rFonts w:ascii="Segoe UI" w:hAnsi="Segoe UI"/>
          <w:color w:val="2D3748"/>
          <w:sz w:val="19"/>
        </w:rPr>
        <w:t xml:space="preserve"> The batch was run earlier in the evening or a preliminary run took place, and a provision Journal Voucher (JV) was already created in Fineract. Re-running the batch changes the provision amount, causing Fineract to reject the duplicate booking date.</w:t>
      </w:r>
    </w:p>
    <w:p>
      <w:pPr>
        <w:spacing w:before="0" w:after="40" w:line="276" w:lineRule="auto"/>
        <w:ind w:left="360"/>
      </w:pPr>
      <w:r>
        <w:rPr>
          <w:rFonts w:ascii="Segoe UI" w:hAnsi="Segoe UI"/>
          <w:color w:val="003366"/>
          <w:sz w:val="19"/>
        </w:rPr>
        <w:t xml:space="preserve">•  </w:t>
      </w:r>
      <w:r>
        <w:rPr>
          <w:rFonts w:ascii="Segoe UI" w:hAnsi="Segoe UI"/>
          <w:b/>
          <w:color w:val="2D3748"/>
          <w:sz w:val="19"/>
        </w:rPr>
        <w:t>The Golden Rule:</w:t>
      </w:r>
      <w:r>
        <w:rPr>
          <w:rFonts w:ascii="Segoe UI" w:hAnsi="Segoe UI"/>
          <w:color w:val="2D3748"/>
          <w:sz w:val="19"/>
        </w:rPr>
        <w:t xml:space="preserve"> </w:t>
      </w:r>
      <w:r>
        <w:rPr>
          <w:rFonts w:ascii="Segoe UI" w:hAnsi="Segoe UI"/>
          <w:b/>
          <w:color w:val="2D3748"/>
          <w:sz w:val="19"/>
        </w:rPr>
        <w:t>Never manually edit or delete general ledger rows in PostgreSQL.</w:t>
      </w:r>
    </w:p>
    <w:p>
      <w:pPr>
        <w:spacing w:before="0" w:after="40" w:line="276" w:lineRule="auto"/>
        <w:ind w:left="360"/>
      </w:pPr>
      <w:r>
        <w:rPr>
          <w:rFonts w:ascii="Segoe UI" w:hAnsi="Segoe UI"/>
          <w:color w:val="003366"/>
          <w:sz w:val="19"/>
        </w:rPr>
        <w:t xml:space="preserve">•  </w:t>
      </w:r>
      <w:r>
        <w:rPr>
          <w:rFonts w:ascii="Segoe UI" w:hAnsi="Segoe UI"/>
          <w:b/>
          <w:color w:val="2D3748"/>
          <w:sz w:val="19"/>
        </w:rPr>
        <w:t>Remediation Action:</w:t>
      </w:r>
    </w:p>
    <w:p>
      <w:pPr>
        <w:spacing w:before="0" w:after="40" w:line="276" w:lineRule="auto"/>
        <w:ind w:left="360"/>
      </w:pPr>
      <w:r>
        <w:rPr>
          <w:rFonts w:ascii="Segoe UI" w:hAnsi="Segoe UI"/>
          <w:b/>
          <w:color w:val="003366"/>
          <w:sz w:val="19"/>
        </w:rPr>
        <w:t xml:space="preserve">1. </w:t>
      </w:r>
      <w:r>
        <w:rPr>
          <w:rFonts w:ascii="Segoe UI" w:hAnsi="Segoe UI"/>
          <w:color w:val="2D3748"/>
          <w:sz w:val="19"/>
        </w:rPr>
        <w:t>The Compliance Officer and Finance Lead must execute a dual-authorized JV Reversal for the prior entry:</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0"/>
              <w:left w:val="single" w:sz="6" w:space="0" w:color="CBD5E0"/>
              <w:bottom w:val="single" w:sz="6" w:space="0" w:color="CBD5E0"/>
              <w:right w:val="single" w:sz="6" w:space="0" w:color="CBD5E0"/>
            </w:tcBorders>
          </w:tcPr>
          <w:p>
            <w:pPr>
              <w:spacing w:before="0" w:after="0" w:line="252" w:lineRule="auto"/>
            </w:pPr>
            <w:r>
              <w:rPr>
                <w:rFonts w:ascii="Consolas" w:hAnsi="Consolas"/>
                <w:b/>
                <w:color w:val="718096"/>
                <w:sz w:val="16"/>
              </w:rPr>
              <w:t>// Language: bash</w:t>
              <w:br/>
            </w:r>
            <w:r>
              <w:rPr>
                <w:rFonts w:ascii="Consolas" w:hAnsi="Consolas"/>
                <w:color w:val="1A202C"/>
                <w:sz w:val="17"/>
              </w:rPr>
              <w:t xml:space="preserve">  # Step 1: Inquire existing provision JV reference</w:t>
              <w:br/>
              <w:t xml:space="preserve">  curl -s -X GET -H "Authorization: Bearer $TOKEN" \</w:t>
              <w:br/>
              <w:t xml:space="preserve">    http://localhost:8081/api/v1/compliance/provision-jv/by-date/2026-10-06</w:t>
              <w:br/>
              <w:br/>
              <w:t xml:space="preserve">  # Step 2: Post reversing entry</w:t>
              <w:br/>
              <w:t xml:space="preserve">  curl -s -X POST -H "Authorization: Bearer $TOKEN" -H "Content-Type: application/json" \</w:t>
              <w:br/>
              <w:t xml:space="preserve">    -d '{"reversalReason": "EOD recomputation adjustment", "dualAuthOfficerId": "fin_head_01"}' \</w:t>
              <w:br/>
              <w:t xml:space="preserve">    http://localhost:8081/api/v1/compliance/provision-jv/$ORIGINAL_JV_ID/reverse</w:t>
            </w:r>
          </w:p>
        </w:tc>
      </w:tr>
    </w:tbl>
    <w:p>
      <w:pPr>
        <w:spacing w:before="40" w:after="80"/>
      </w:pPr>
    </w:p>
    <w:p>
      <w:pPr>
        <w:spacing w:before="0" w:after="40" w:line="276" w:lineRule="auto"/>
        <w:ind w:left="360"/>
      </w:pPr>
      <w:r>
        <w:rPr>
          <w:rFonts w:ascii="Segoe UI" w:hAnsi="Segoe UI"/>
          <w:b/>
          <w:color w:val="003366"/>
          <w:sz w:val="19"/>
        </w:rPr>
        <w:t xml:space="preserve">2. </w:t>
      </w:r>
      <w:r>
        <w:rPr>
          <w:rFonts w:ascii="Segoe UI" w:hAnsi="Segoe UI"/>
          <w:color w:val="2D3748"/>
          <w:sz w:val="19"/>
        </w:rPr>
        <w:t>Re-trigger Phase 5 GL posting to post the newly adjusted, balanced journal entry.</w:t>
      </w:r>
    </w:p>
    <w:p>
      <w:pPr>
        <w:keepNext/>
        <w:spacing w:before="200" w:after="60"/>
      </w:pPr>
      <w:r>
        <w:rPr>
          <w:rFonts w:ascii="Segoe UI" w:hAnsi="Segoe UI"/>
          <w:b/>
          <w:color w:val="1A365D"/>
          <w:sz w:val="24"/>
        </w:rPr>
        <w:t>3. Safe Historical EOD Rerun Procedure (`RB-03`)</w:t>
      </w:r>
    </w:p>
    <w:p>
      <w:pPr>
        <w:spacing w:before="0" w:after="80" w:line="276" w:lineRule="auto"/>
      </w:pPr>
      <w:r>
        <w:rPr>
          <w:rFonts w:ascii="Segoe UI" w:hAnsi="Segoe UI"/>
          <w:color w:val="2D3748"/>
          <w:sz w:val="19"/>
        </w:rPr>
        <w:t>As illustrated in Figure 3 below, Authoritative decision logic for qualitative and objective classification overrides.</w:t>
      </w:r>
    </w:p>
    <w:tbl>
      <w:tblPr>
        <w:tblW w:type="auto" w:w="0"/>
        <w:jc w:val="center"/>
        <w:tblLayout w:type="fixed"/>
        <w:tblLook w:firstColumn="1" w:firstRow="1" w:lastColumn="0" w:lastRow="0" w:noHBand="0" w:noVBand="1" w:val="04A0"/>
      </w:tblPr>
      <w:tblGrid>
        <w:gridCol w:w="9360"/>
      </w:tblGrid>
      <w:tr>
        <w:tc>
          <w:tcPr>
            <w:tcW w:type="dxa" w:w="9360"/>
            <w:shd w:fill="FAFAFA"/>
            <w:tcMar>
              <w:top w:w="120" w:type="dxa"/>
              <w:bottom w:w="120" w:type="dxa"/>
              <w:left w:w="120" w:type="dxa"/>
              <w:right w:w="120" w:type="dxa"/>
            </w:tcMar>
            <w:tcBorders>
              <w:top w:val="single" w:sz="8" w:space="0" w:color="CBD5E0"/>
              <w:left w:val="single" w:sz="8" w:space="0" w:color="CBD5E0"/>
              <w:bottom w:val="single" w:sz="8" w:space="0" w:color="CBD5E0"/>
              <w:right w:val="single" w:sz="8" w:space="0" w:color="CBD5E0"/>
            </w:tcBorders>
          </w:tcPr>
          <w:p>
            <w:pPr>
              <w:spacing w:before="80" w:after="80"/>
              <w:jc w:val="center"/>
            </w:pPr>
            <w:r>
              <w:drawing>
                <wp:inline xmlns:a="http://schemas.openxmlformats.org/drawingml/2006/main" xmlns:pic="http://schemas.openxmlformats.org/drawingml/2006/picture">
                  <wp:extent cx="5669280" cy="2067620"/>
                  <wp:docPr id="3" name="Picture 3"/>
                  <wp:cNvGraphicFramePr>
                    <a:graphicFrameLocks noChangeAspect="1"/>
                  </wp:cNvGraphicFramePr>
                  <a:graphic>
                    <a:graphicData uri="http://schemas.openxmlformats.org/drawingml/2006/picture">
                      <pic:pic>
                        <pic:nvPicPr>
                          <pic:cNvPr id="0" name="E4_brpd.png"/>
                          <pic:cNvPicPr/>
                        </pic:nvPicPr>
                        <pic:blipFill>
                          <a:blip r:embed="rId13"/>
                          <a:stretch>
                            <a:fillRect/>
                          </a:stretch>
                        </pic:blipFill>
                        <pic:spPr>
                          <a:xfrm>
                            <a:off x="0" y="0"/>
                            <a:ext cx="5669280" cy="2067620"/>
                          </a:xfrm>
                          <a:prstGeom prst="rect"/>
                        </pic:spPr>
                      </pic:pic>
                    </a:graphicData>
                  </a:graphic>
                </wp:inline>
              </w:drawing>
            </w:r>
          </w:p>
        </w:tc>
      </w:tr>
    </w:tbl>
    <w:p>
      <w:pPr>
        <w:keepNext/>
        <w:spacing w:before="60" w:after="20"/>
        <w:jc w:val="center"/>
      </w:pPr>
      <w:r>
        <w:rPr>
          <w:rFonts w:ascii="Segoe UI" w:hAnsi="Segoe UI"/>
          <w:b/>
          <w:color w:val="003366"/>
          <w:sz w:val="18"/>
        </w:rPr>
        <w:t>Figure 3: Bangladesh Bank Statutory Provisioning Rules &amp; Overdue Calculation Flowchart</w:t>
      </w:r>
    </w:p>
    <w:p>
      <w:pPr>
        <w:spacing w:before="0" w:after="160"/>
        <w:jc w:val="center"/>
      </w:pPr>
      <w:r>
        <w:rPr>
          <w:rFonts w:ascii="Segoe UI" w:hAnsi="Segoe UI"/>
          <w:i/>
          <w:color w:val="718096"/>
          <w:sz w:val="16"/>
        </w:rPr>
        <w:t>Authoritative decision logic for qualitative and objective classification overrides.</w:t>
      </w:r>
    </w:p>
    <w:p>
      <w:pPr>
        <w:spacing w:before="0" w:after="80" w:line="276" w:lineRule="auto"/>
      </w:pPr>
      <w:r>
        <w:rPr>
          <w:rFonts w:ascii="Segoe UI" w:hAnsi="Segoe UI"/>
          <w:color w:val="2D3748"/>
          <w:sz w:val="19"/>
        </w:rPr>
        <w:t>When a scheduled batch fails, a court stay order is processed retroactively, or the 23:30 window is missed due to an infrastructure outage, execute the following deterministic rerun runbook:</w:t>
      </w:r>
    </w:p>
    <w:p>
      <w:pPr>
        <w:keepNext/>
        <w:spacing w:before="160" w:after="40"/>
      </w:pPr>
      <w:r>
        <w:rPr>
          <w:rFonts w:ascii="Segoe UI" w:hAnsi="Segoe UI"/>
          <w:b/>
          <w:color w:val="2B6CB0"/>
          <w:sz w:val="21"/>
        </w:rPr>
        <w:t>Step 1: Freeze Pre-Rerun Evidence (Regulatory Audit Requirement)</w:t>
      </w:r>
    </w:p>
    <w:p>
      <w:pPr>
        <w:spacing w:before="0" w:after="80" w:line="276" w:lineRule="auto"/>
      </w:pPr>
      <w:r>
        <w:rPr>
          <w:rFonts w:ascii="Segoe UI" w:hAnsi="Segoe UI"/>
          <w:color w:val="2D3748"/>
          <w:sz w:val="19"/>
        </w:rPr>
        <w:t>Before modifying classification snapshots, capture current counts and totals to an audit file:</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0"/>
              <w:left w:val="single" w:sz="6" w:space="0" w:color="CBD5E0"/>
              <w:bottom w:val="single" w:sz="6" w:space="0" w:color="CBD5E0"/>
              <w:right w:val="single" w:sz="6" w:space="0" w:color="CBD5E0"/>
            </w:tcBorders>
          </w:tcPr>
          <w:p>
            <w:pPr>
              <w:spacing w:before="0" w:after="0" w:line="252" w:lineRule="auto"/>
            </w:pPr>
            <w:r>
              <w:rPr>
                <w:rFonts w:ascii="Consolas" w:hAnsi="Consolas"/>
                <w:b/>
                <w:color w:val="718096"/>
                <w:sz w:val="16"/>
              </w:rPr>
              <w:t>// Language: bash</w:t>
              <w:br/>
            </w:r>
            <w:r>
              <w:rPr>
                <w:rFonts w:ascii="Consolas" w:hAnsi="Consolas"/>
                <w:color w:val="1A202C"/>
                <w:sz w:val="17"/>
              </w:rPr>
              <w:t>docker compose exec -T postgres psql -U ulms -d ulms -c "</w:t>
              <w:br/>
              <w:t xml:space="preserve">  SELECT </w:t>
              <w:br/>
              <w:t xml:space="preserve">    run_date,</w:t>
              <w:br/>
              <w:t xml:space="preserve">    loans_classified,</w:t>
              <w:br/>
              <w:t xml:space="preserve">    total_standard_minor,</w:t>
              <w:br/>
              <w:t xml:space="preserve">    total_classified_minor,</w:t>
              <w:br/>
              <w:t xml:space="preserve">    total_provision_minor,</w:t>
              <w:br/>
              <w:t xml:space="preserve">    created_at</w:t>
              <w:br/>
              <w:t xml:space="preserve">  FROM ulms_app.provision_run </w:t>
              <w:br/>
              <w:t xml:space="preserve">  WHERE run_date &gt;= CURRENT_DATE - INTERVAL '3 days'</w:t>
              <w:br/>
              <w:t xml:space="preserve">  ORDER BY run_date DESC;" &gt; /var/log/ulms/eod_pre_rerun_audit_$(date +%Y%m%d_%H%M%S).txt</w:t>
            </w:r>
          </w:p>
        </w:tc>
      </w:tr>
    </w:tbl>
    <w:p>
      <w:pPr>
        <w:spacing w:before="40" w:after="80"/>
      </w:pPr>
    </w:p>
    <w:p>
      <w:pPr>
        <w:keepNext/>
        <w:spacing w:before="160" w:after="40"/>
      </w:pPr>
      <w:r>
        <w:rPr>
          <w:rFonts w:ascii="Segoe UI" w:hAnsi="Segoe UI"/>
          <w:b/>
          <w:color w:val="2B6CB0"/>
          <w:sz w:val="21"/>
        </w:rPr>
        <w:t>Step 2: Acquire Dual-Authorized Compliance Token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0"/>
              <w:left w:val="single" w:sz="6" w:space="0" w:color="CBD5E0"/>
              <w:bottom w:val="single" w:sz="6" w:space="0" w:color="CBD5E0"/>
              <w:right w:val="single" w:sz="6" w:space="0" w:color="CBD5E0"/>
            </w:tcBorders>
          </w:tcPr>
          <w:p>
            <w:pPr>
              <w:spacing w:before="0" w:after="0" w:line="252" w:lineRule="auto"/>
            </w:pPr>
            <w:r>
              <w:rPr>
                <w:rFonts w:ascii="Consolas" w:hAnsi="Consolas"/>
                <w:b/>
                <w:color w:val="718096"/>
                <w:sz w:val="16"/>
              </w:rPr>
              <w:t>// Language: bash</w:t>
              <w:br/>
            </w:r>
            <w:r>
              <w:rPr>
                <w:rFonts w:ascii="Consolas" w:hAnsi="Consolas"/>
                <w:color w:val="1A202C"/>
                <w:sz w:val="17"/>
              </w:rPr>
              <w:t>TOKEN=$(curl -s http://localhost:8082/realms/ulms/protocol/openid-connect/token \</w:t>
              <w:br/>
              <w:t xml:space="preserve">  -d grant_type=password \</w:t>
              <w:br/>
              <w:t xml:space="preserve">  -d client_id=ulms-web \</w:t>
              <w:br/>
              <w:t xml:space="preserve">  -d username=compliance_officer \</w:t>
              <w:br/>
              <w:t xml:space="preserve">  -d password="$COMPLIANCE_PASSWORD" | jq -r .access_token)</w:t>
            </w:r>
          </w:p>
        </w:tc>
      </w:tr>
    </w:tbl>
    <w:p>
      <w:pPr>
        <w:spacing w:before="40" w:after="80"/>
      </w:pPr>
    </w:p>
    <w:p>
      <w:pPr>
        <w:keepNext/>
        <w:spacing w:before="160" w:after="40"/>
      </w:pPr>
      <w:r>
        <w:rPr>
          <w:rFonts w:ascii="Segoe UI" w:hAnsi="Segoe UI"/>
          <w:b/>
          <w:color w:val="2B6CB0"/>
          <w:sz w:val="21"/>
        </w:rPr>
        <w:t>Step 3: Trigger Idempotent Date-Bound Rerun API</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0"/>
              <w:left w:val="single" w:sz="6" w:space="0" w:color="CBD5E0"/>
              <w:bottom w:val="single" w:sz="6" w:space="0" w:color="CBD5E0"/>
              <w:right w:val="single" w:sz="6" w:space="0" w:color="CBD5E0"/>
            </w:tcBorders>
          </w:tcPr>
          <w:p>
            <w:pPr>
              <w:spacing w:before="0" w:after="0" w:line="252" w:lineRule="auto"/>
            </w:pPr>
            <w:r>
              <w:rPr>
                <w:rFonts w:ascii="Consolas" w:hAnsi="Consolas"/>
                <w:b/>
                <w:color w:val="718096"/>
                <w:sz w:val="16"/>
              </w:rPr>
              <w:t>// Language: bash</w:t>
              <w:br/>
            </w:r>
            <w:r>
              <w:rPr>
                <w:rFonts w:ascii="Consolas" w:hAnsi="Consolas"/>
                <w:color w:val="1A202C"/>
                <w:sz w:val="17"/>
              </w:rPr>
              <w:t>curl -s -X POST -H "Authorization: Bearer $TOKEN" \</w:t>
              <w:br/>
              <w:t xml:space="preserve">  -H "Content-Type: application/json" \</w:t>
              <w:br/>
              <w:t xml:space="preserve">  -d '{</w:t>
              <w:br/>
              <w:t xml:space="preserve">    "targetDate": "2026-10-06",</w:t>
              <w:br/>
              <w:t xml:space="preserve">    "forceRecalculate": true,</w:t>
              <w:br/>
              <w:t xml:space="preserve">    "authorizationCode": "AUTH-EOD-RERUN-20261006-01"</w:t>
              <w:br/>
              <w:t xml:space="preserve">  }' \</w:t>
              <w:br/>
              <w:t xml:space="preserve">  http://localhost:8081/api/v1/compliance/eod/run | jq .</w:t>
            </w:r>
          </w:p>
        </w:tc>
      </w:tr>
    </w:tbl>
    <w:p>
      <w:pPr>
        <w:spacing w:before="40" w:after="80"/>
      </w:pPr>
    </w:p>
    <w:p>
      <w:pPr>
        <w:spacing w:before="0" w:after="80" w:line="276" w:lineRule="auto"/>
      </w:pPr>
      <w:r>
        <w:rPr>
          <w:rFonts w:ascii="Segoe UI" w:hAnsi="Segoe UI"/>
          <w:i/>
          <w:color w:val="2D3748"/>
          <w:sz w:val="19"/>
        </w:rPr>
        <w:t>Expected Response:</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0"/>
              <w:left w:val="single" w:sz="6" w:space="0" w:color="CBD5E0"/>
              <w:bottom w:val="single" w:sz="6" w:space="0" w:color="CBD5E0"/>
              <w:right w:val="single" w:sz="6" w:space="0" w:color="CBD5E0"/>
            </w:tcBorders>
          </w:tcPr>
          <w:p>
            <w:pPr>
              <w:spacing w:before="0" w:after="0" w:line="252" w:lineRule="auto"/>
            </w:pPr>
            <w:r>
              <w:rPr>
                <w:rFonts w:ascii="Consolas" w:hAnsi="Consolas"/>
                <w:b/>
                <w:color w:val="718096"/>
                <w:sz w:val="16"/>
              </w:rPr>
              <w:t>// Language: json</w:t>
              <w:br/>
            </w:r>
            <w:r>
              <w:rPr>
                <w:rFonts w:ascii="Consolas" w:hAnsi="Consolas"/>
                <w:color w:val="1A202C"/>
                <w:sz w:val="17"/>
              </w:rPr>
              <w:t>{</w:t>
              <w:br/>
              <w:t xml:space="preserve">  "status": "COMPLETED",</w:t>
              <w:br/>
              <w:t xml:space="preserve">  "targetDate": "2026-10-06",</w:t>
              <w:br/>
              <w:t xml:space="preserve">  "loansProcessed": 48210,</w:t>
              <w:br/>
              <w:t xml:space="preserve">  "standardLoans": 46150,</w:t>
              <w:br/>
              <w:t xml:space="preserve">  "specialMention": 1240,</w:t>
              <w:br/>
              <w:t xml:space="preserve">  "classifiedLoans": 820,</w:t>
              <w:br/>
              <w:t xml:space="preserve">  "totalProvisionBDT": "99452300.00",</w:t>
              <w:br/>
              <w:t xml:space="preserve">  "glPostingStatus": "POSTED",</w:t>
              <w:br/>
              <w:t xml:space="preserve">  "glJournalVoucherId": "JV-20261006-PROV-02"</w:t>
              <w:br/>
              <w:t>}</w:t>
            </w:r>
          </w:p>
        </w:tc>
      </w:tr>
    </w:tbl>
    <w:p>
      <w:pPr>
        <w:spacing w:before="40" w:after="80"/>
      </w:pPr>
    </w:p>
    <w:p>
      <w:pPr>
        <w:keepNext/>
        <w:spacing w:before="200" w:after="60"/>
      </w:pPr>
      <w:r>
        <w:rPr>
          <w:rFonts w:ascii="Segoe UI" w:hAnsi="Segoe UI"/>
          <w:b/>
          <w:color w:val="1A365D"/>
          <w:sz w:val="24"/>
        </w:rPr>
        <w:t>4. Court Stay Orders &amp; Qualitative Overrides</w:t>
      </w:r>
    </w:p>
    <w:p>
      <w:pPr>
        <w:spacing w:before="0" w:after="80" w:line="276" w:lineRule="auto"/>
      </w:pPr>
      <w:r>
        <w:rPr>
          <w:rFonts w:ascii="Segoe UI" w:hAnsi="Segoe UI"/>
          <w:color w:val="2D3748"/>
          <w:sz w:val="19"/>
        </w:rPr>
        <w:t>Under Bangladesh Bank regulations, High Court stay orders or credit committee qualitative assessments can freeze or reclassify a loan account regardless of its objective DPD:</w:t>
      </w:r>
    </w:p>
    <w:p>
      <w:pPr>
        <w:keepNext/>
        <w:spacing w:before="160" w:after="40"/>
      </w:pPr>
      <w:r>
        <w:rPr>
          <w:rFonts w:ascii="Segoe UI" w:hAnsi="Segoe UI"/>
          <w:b/>
          <w:color w:val="2B6CB0"/>
          <w:sz w:val="21"/>
        </w:rPr>
        <w:t>4.1 Applying a Legal Stay Order</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0"/>
              <w:left w:val="single" w:sz="6" w:space="0" w:color="CBD5E0"/>
              <w:bottom w:val="single" w:sz="6" w:space="0" w:color="CBD5E0"/>
              <w:right w:val="single" w:sz="6" w:space="0" w:color="CBD5E0"/>
            </w:tcBorders>
          </w:tcPr>
          <w:p>
            <w:pPr>
              <w:spacing w:before="0" w:after="0" w:line="252" w:lineRule="auto"/>
            </w:pPr>
            <w:r>
              <w:rPr>
                <w:rFonts w:ascii="Consolas" w:hAnsi="Consolas"/>
                <w:b/>
                <w:color w:val="718096"/>
                <w:sz w:val="16"/>
              </w:rPr>
              <w:t>// Language: bash</w:t>
              <w:br/>
            </w:r>
            <w:r>
              <w:rPr>
                <w:rFonts w:ascii="Consolas" w:hAnsi="Consolas"/>
                <w:color w:val="1A202C"/>
                <w:sz w:val="17"/>
              </w:rPr>
              <w:t>curl -s -X POST -H "Authorization: Bearer $TOKEN" \</w:t>
              <w:br/>
              <w:t xml:space="preserve">  -H "Content-Type: application/json" \</w:t>
              <w:br/>
              <w:t xml:space="preserve">  -d '{</w:t>
              <w:br/>
              <w:t xml:space="preserve">    "loanId": "a1b2c3d4-e5f6-7890-abcd-ef1234567890",</w:t>
              <w:br/>
              <w:t xml:space="preserve">    "overrideClassification": "STD-0",</w:t>
              <w:br/>
              <w:t xml:space="preserve">    "reason": "High Court Writ Petition No. 14205/2026 stay order",</w:t>
              <w:br/>
              <w:t xml:space="preserve">    "expiryDate": "2027-04-30",</w:t>
              <w:br/>
              <w:t xml:space="preserve">    "supportingDocumentRef": "DOC-STAY-WP14205"</w:t>
              <w:br/>
              <w:t xml:space="preserve">  }' \</w:t>
              <w:br/>
              <w:t xml:space="preserve">  http://localhost:8081/api/v1/compliance/overrides</w:t>
            </w:r>
          </w:p>
        </w:tc>
      </w:tr>
    </w:tbl>
    <w:p>
      <w:pPr>
        <w:spacing w:before="40" w:after="80"/>
      </w:pPr>
    </w:p>
    <w:p>
      <w:pPr>
        <w:spacing w:before="0" w:after="80" w:line="276" w:lineRule="auto"/>
      </w:pPr>
      <w:r>
        <w:rPr>
          <w:rFonts w:ascii="Segoe UI" w:hAnsi="Segoe UI"/>
          <w:color w:val="2D3748"/>
          <w:sz w:val="19"/>
        </w:rPr>
        <w:t xml:space="preserve">When evaluated by the EOD batch, the engine detects the active stay order, retains </w:t>
      </w:r>
      <w:r>
        <w:rPr>
          <w:rFonts w:ascii="Consolas" w:hAnsi="Consolas"/>
          <w:color w:val="801515"/>
          <w:sz w:val="18"/>
        </w:rPr>
        <w:t>STD-0</w:t>
      </w:r>
      <w:r>
        <w:rPr>
          <w:rFonts w:ascii="Segoe UI" w:hAnsi="Segoe UI"/>
          <w:color w:val="2D3748"/>
          <w:sz w:val="19"/>
        </w:rPr>
        <w:t xml:space="preserve"> classification, logs a </w:t>
      </w:r>
      <w:r>
        <w:rPr>
          <w:rFonts w:ascii="Consolas" w:hAnsi="Consolas"/>
          <w:color w:val="801515"/>
          <w:sz w:val="18"/>
        </w:rPr>
        <w:t>QUALITATIVE_OVERRIDE</w:t>
      </w:r>
      <w:r>
        <w:rPr>
          <w:rFonts w:ascii="Segoe UI" w:hAnsi="Segoe UI"/>
          <w:color w:val="2D3748"/>
          <w:sz w:val="19"/>
        </w:rPr>
        <w:t xml:space="preserve"> event, and flags the account on the CIB Monthly Export statement.</w:t>
      </w:r>
    </w:p>
    <w:p>
      <w:pPr>
        <w:spacing w:before="0" w:after="80" w:line="276" w:lineRule="auto"/>
      </w:pPr>
      <w:r>
        <w:rPr>
          <w:rFonts w:ascii="Segoe UI" w:hAnsi="Segoe UI"/>
          <w:i/>
          <w:color w:val="2D3748"/>
          <w:sz w:val="19"/>
        </w:rPr>
        <w:t>— End of Nightly EOD Batch &amp; Classification Diagnostic Guide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Segoe UI" w:hAnsi="Segoe UI"/>
        <w:color w:val="718096"/>
        <w:sz w:val="17"/>
      </w:rPr>
      <w:t xml:space="preserve">Unisoft Systems Limited · Institutional Banking Asset         </w:t>
    </w:r>
    <w:r>
      <w:rPr>
        <w:rFonts w:ascii="Segoe UI" w:hAnsi="Segoe UI"/>
        <w:color w:val="2D3748"/>
        <w:sz w:val="17"/>
      </w:rPr>
      <w:t xml:space="preserve">Page </w:t>
      <w:fldChar w:fldCharType="begin"/>
      <w:instrText xml:space="preserve"> PAGE </w:instrText>
      <w:fldChar w:fldCharType="separate"/>
      <w:fldChar w:fldCharType="end"/>
    </w:r>
    <w:r>
      <w:rPr>
        <w:rFonts w:ascii="Segoe UI" w:hAnsi="Segoe UI"/>
        <w:color w:val="2D3748"/>
        <w:sz w:val="17"/>
      </w:rPr>
      <w:t xml:space="preserve"> of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Segoe UI" w:hAnsi="Segoe UI"/>
        <w:color w:val="718096"/>
        <w:sz w:val="17"/>
      </w:rPr>
      <w:t xml:space="preserve">ULMS v2.0 · DOC-02-TS-05  |  </w:t>
    </w:r>
    <w:r>
      <w:rPr>
        <w:rFonts w:ascii="Segoe UI" w:hAnsi="Segoe UI"/>
        <w:b/>
        <w:color w:val="C53030"/>
        <w:sz w:val="17"/>
      </w:rPr>
      <w:t>RESTRICTED — BANK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