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02 TROUBLESHOOTING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DOC-02-TS-06: Bangladesh Bank CIB Online &amp; NIDW Verification Failure Diagnostic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DOC-02-TS-06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cib_online_nidw_verification_failures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[support_engineer, loan_officer, integration_engineer]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DOC-02-TS-06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DOC-02-TS-06: Bangladesh Bank CIB Online &amp; NIDW Verification Failure Diagnostic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National ID verification status, photo face-matching, and biometric data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st36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Customer KYC Profile &amp; Bangladesh Election Commission NIDW Verification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National ID verification status, photo face-matching, and biometric data validation.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CIB Online &amp; NIDW Verification Failure Diagnostics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Troubleshooting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BRPD Circular 15/2024 → BFIU Circular 26 (e-KYC) → </w:t>
            </w:r>
            <w:r>
              <w:rPr>
                <w:rFonts w:ascii="Consolas" w:hAnsi="Consolas"/>
                <w:color w:val="801515"/>
                <w:sz w:val="16"/>
              </w:rPr>
              <w:t>CibPort.java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Problem Statement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During borrower onboarding and loan appraisal: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CIB inquiry fails with: </w:t>
      </w:r>
      <w:r>
        <w:rPr>
          <w:rFonts w:ascii="Consolas" w:hAnsi="Consolas"/>
          <w:color w:val="801515"/>
          <w:sz w:val="18"/>
        </w:rPr>
        <w:t>CibTimeoutException: CIB Online gateway unresponsive after 15000ms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NID verification returns: </w:t>
      </w:r>
      <w:r>
        <w:rPr>
          <w:rFonts w:ascii="Consolas" w:hAnsi="Consolas"/>
          <w:color w:val="801515"/>
          <w:sz w:val="18"/>
        </w:rPr>
        <w:t>NidNotFoundException: National ID number 19901234567890123 not validated by NIDW service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Credit evaluation blocked because CIB report is legally mandatory before credit committee review under Bank Company Act 1991 §27.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Diagnostic Protocol &amp; Error Matrix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Mandatory automated credit inquiry blocking under Bank Company Act 1991 §27.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pp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Loan Application Origination Wizard &amp; Automated CIB Inquiry Trigger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Mandatory automated credit inquiry blocking under Bank Company Act 1991 §27.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Error Code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Immediate Action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CIB-504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BB CIB API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CIB Server maintenance window (often 18:00 - 20:00).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Retry in off-peak window; activate manual XML upload queue.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CIB-401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CIB Gateway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Expired CIB certificate or changed IP address.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Verify bank static IP registered with BB CIB Department.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NIDW-500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NIDW Portal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Server maintenance at Bangladesh Election Commission.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Trigger fallback to manual NID physical copy upload with Maker-Checker override.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CIB-INVALID-DOB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Data Entry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DOB does not match NID registered record.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Request original NID card and correct date format (</w:t>
            </w:r>
            <w:r>
              <w:rPr>
                <w:rFonts w:ascii="Consolas" w:hAnsi="Consolas"/>
                <w:color w:val="801515"/>
                <w:sz w:val="16"/>
              </w:rPr>
              <w:t>DD/MM/YYYY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Safe Manual Bypass &amp; Audit Compliance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Pipeline stage locked awaiting CIB credit report generation or dual-control manual override.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pipelin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Underwriting Pipeline Worklist Displaying CIB Validation Hold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Pipeline stage locked awaiting CIB credit report generation or dual-control manual override.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Under Bangladesh Bank regulations, an automated CIB failure cannot simply be ignored. If the live API is down $&gt; 2$ hours: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color w:val="2D3748"/>
          <w:sz w:val="19"/>
        </w:rPr>
        <w:t>Loan officer downloads official CIB inquiry PDF via BB web portal manually.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color w:val="2D3748"/>
          <w:sz w:val="19"/>
        </w:rPr>
        <w:t xml:space="preserve">Uploads PDF into ULMS document store via </w:t>
      </w:r>
      <w:r>
        <w:rPr>
          <w:rFonts w:ascii="Consolas" w:hAnsi="Consolas"/>
          <w:color w:val="801515"/>
          <w:sz w:val="18"/>
        </w:rPr>
        <w:t>POST /api/v1/applications/{id}/documents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color w:val="2D3748"/>
          <w:sz w:val="19"/>
        </w:rPr>
        <w:t xml:space="preserve">Selects </w:t>
      </w:r>
      <w:r>
        <w:rPr>
          <w:rFonts w:ascii="Segoe UI" w:hAnsi="Segoe UI"/>
          <w:b/>
          <w:color w:val="2D3748"/>
          <w:sz w:val="19"/>
        </w:rPr>
        <w:t>"Manual CIB Report Override"</w:t>
      </w:r>
      <w:r>
        <w:rPr>
          <w:rFonts w:ascii="Segoe UI" w:hAnsi="Segoe UI"/>
          <w:color w:val="2D3748"/>
          <w:sz w:val="19"/>
        </w:rPr>
        <w:t xml:space="preserve"> which requires Branch Manager dual-authorization.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color w:val="2D3748"/>
          <w:sz w:val="19"/>
        </w:rPr>
        <w:t xml:space="preserve">An immutable audit record is logged in </w:t>
      </w:r>
      <w:r>
        <w:rPr>
          <w:rFonts w:ascii="Consolas" w:hAnsi="Consolas"/>
          <w:color w:val="801515"/>
          <w:sz w:val="18"/>
        </w:rPr>
        <w:t>ulms.audit_entry</w:t>
      </w:r>
      <w:r>
        <w:rPr>
          <w:rFonts w:ascii="Segoe UI" w:hAnsi="Segoe UI"/>
          <w:color w:val="2D3748"/>
          <w:sz w:val="19"/>
        </w:rPr>
        <w:t xml:space="preserve"> capturing the override justification and attached PDF hash.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DOC-02-TS-06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