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02 TROUBLESHOOTING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DOC-02-TS-07: Payment Gateway Webhook Storms &amp; Double-Posting Reconciliation Runbook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DOC-02-TS-07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webhook_storms_duplicate_posting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[backend_engineer, sre, treasury_officer]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DOC-02-TS-07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DOC-02-TS-07: Payment Gateway Webhook Storms &amp; Double-Posting Reconciliation Runbook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High-frequency repayment notifications received from external payment aggregators.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_borrower_pa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MFS Digital Repayment Channel &amp; Gateway Webhook Receiver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High-frequency repayment notifications received from external payment aggregators.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Payment Gateway Webhook Storms &amp; Double-Posting Diagnostics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Operational Troubleshooting Runbook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DOC-01-ARCH-03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com.uslbd.ulms.integration.rails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Problem Statement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When an MFS rail (bKash/Nagad) experiences upstream latency, its notification engine may retry payment webhook delivery dozens of times within seconds. Without strict idempotency, this causes: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>Duplicate loan installment credits to the same account.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>Over-collection leading to negative outstanding balances.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color w:val="2D3748"/>
          <w:sz w:val="19"/>
        </w:rPr>
        <w:t xml:space="preserve">Thread starvation on </w:t>
      </w:r>
      <w:r>
        <w:rPr>
          <w:rFonts w:ascii="Consolas" w:hAnsi="Consolas"/>
          <w:color w:val="801515"/>
          <w:sz w:val="18"/>
        </w:rPr>
        <w:t>POST /api/v1/loans/payments/reconcile</w:t>
      </w:r>
      <w:r>
        <w:rPr>
          <w:rFonts w:ascii="Segoe UI" w:hAnsi="Segoe UI"/>
          <w:color w:val="2D3748"/>
          <w:sz w:val="19"/>
        </w:rPr>
        <w:t>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Invariant Protection Machinery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ULMS guarantees zero duplicate credits via database-level unique constraints in </w:t>
      </w:r>
      <w:r>
        <w:rPr>
          <w:rFonts w:ascii="Consolas" w:hAnsi="Consolas"/>
          <w:color w:val="801515"/>
          <w:sz w:val="18"/>
        </w:rPr>
        <w:t>ulms.payment</w:t>
      </w:r>
      <w:r>
        <w:rPr>
          <w:rFonts w:ascii="Segoe UI" w:hAnsi="Segoe UI"/>
          <w:color w:val="2D3748"/>
          <w:sz w:val="19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>-- Unique constraint preventing duplicate processing of external transaction IDs</w:t>
              <w:br/>
              <w:t xml:space="preserve">ALTER TABLE ulms.payment </w:t>
              <w:br/>
              <w:t>ADD CONSTRAINT uk_payment_external_tx_ref UNIQUE (payment_rail, external_tx_ref);</w:t>
            </w:r>
          </w:p>
        </w:tc>
      </w:tr>
    </w:tbl>
    <w:p>
      <w:pPr>
        <w:spacing w:before="4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When a duplicate webhook hits the controller: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Consolas" w:hAnsi="Consolas"/>
          <w:color w:val="801515"/>
          <w:sz w:val="18"/>
        </w:rPr>
        <w:t>RailWebhookHandler</w:t>
      </w:r>
      <w:r>
        <w:rPr>
          <w:rFonts w:ascii="Segoe UI" w:hAnsi="Segoe UI"/>
          <w:color w:val="2D3748"/>
          <w:sz w:val="19"/>
        </w:rPr>
        <w:t xml:space="preserve"> checks existence of </w:t>
      </w:r>
      <w:r>
        <w:rPr>
          <w:rFonts w:ascii="Consolas" w:hAnsi="Consolas"/>
          <w:color w:val="801515"/>
          <w:sz w:val="18"/>
        </w:rPr>
        <w:t>external_tx_ref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>If already processed, immediately responds with HTTP 200 OK (so the rail ceases retries) without re-executing ledger posting.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color w:val="2D3748"/>
          <w:sz w:val="19"/>
        </w:rPr>
        <w:t>If concurrent requests arrive simultaneously, the second transaction is aborted with a PostgreSQL unique violation and gracefully swallowed.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Discrepancy Resolution Protocol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Accurate installment credit and fee allocation with zero duplicate ledger postings.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loan36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Loan Servicing Ledger Reconciled Following Webhook Ingestion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Accurate installment credit and fee allocation with zero duplicate ledger postings.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If an upstream gateway sends conflicting amounts under the same transaction ID: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 xml:space="preserve">Lock affected account temporarily: </w:t>
      </w:r>
      <w:r>
        <w:rPr>
          <w:rFonts w:ascii="Consolas" w:hAnsi="Consolas"/>
          <w:color w:val="801515"/>
          <w:sz w:val="18"/>
        </w:rPr>
        <w:t>UPDATE ulms.loan SET locked = true WHERE id = :id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 xml:space="preserve">Inspect payment rail logs: </w:t>
      </w:r>
      <w:r>
        <w:rPr>
          <w:rFonts w:ascii="Consolas" w:hAnsi="Consolas"/>
          <w:color w:val="801515"/>
          <w:sz w:val="18"/>
        </w:rPr>
        <w:t>SELECT * FROM ulms.payment WHERE external_tx_ref = :ref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color w:val="2D3748"/>
          <w:sz w:val="19"/>
        </w:rPr>
        <w:t xml:space="preserve">Run treasury adjustment journal voucher via </w:t>
      </w:r>
      <w:r>
        <w:rPr>
          <w:rFonts w:ascii="Consolas" w:hAnsi="Consolas"/>
          <w:color w:val="801515"/>
          <w:sz w:val="18"/>
        </w:rPr>
        <w:t>FineractJournalPort</w:t>
      </w:r>
      <w:r>
        <w:rPr>
          <w:rFonts w:ascii="Segoe UI" w:hAnsi="Segoe UI"/>
          <w:color w:val="2D3748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1638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_endpoint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163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Webhook Endpoint Specification &amp; Idempotency Key Protection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RFC 9457 contract specifications enforcing unique external transaction reference locks.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DOC-02-TS-07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