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DOC-03-MNT-02: Flyway Database Migration &amp; Schema Evolution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flyway_database_migration_and_schema_evolution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backend_developer, devops_engineer, data_architect]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DOC-03-MNT-02: Flyway Database Migration &amp; Schema Evolution Guide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Flyway Database Migration &amp; Schema Evolution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Database Administration &amp; Evolution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Migration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LMS_CODEBASE/apps/api/src/main/resources/db/migration/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LMS_CODEBASE/PLANNING/04_Data_Model_and_Migration_Plan.md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Relational Topology &amp; Dual-Schema Architecture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schema verification ensuring backward compatibility across dual schemas.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Customer Master Table Schema Following Flyway V018 Migration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schema verification ensuring backward compatibility across dual schemas.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v2.0 maintains a strictly partitioned dual-schema physical database architecture within PostgreSQL 17 to preserve clean separation between the loan origination workflow engine and the core banking accounting ledger: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PG17 ["PostgreSQL 17 Database Server (ulms_prod)"]</w:t>
              <w:br/>
              <w:t xml:space="preserve">        subgraph Schema_ULMS ["ulms_app Schema (42 Tables)"]</w:t>
              <w:br/>
              <w:t xml:space="preserve">            T1["customers, kyc_records"]</w:t>
              <w:br/>
              <w:t xml:space="preserve">            T2["applications, collaterals"]</w:t>
              <w:br/>
              <w:t xml:space="preserve">            T3["scorecards, cib_inquiries"]</w:t>
              <w:br/>
              <w:t xml:space="preserve">            T4["approval_tasks, sanction_letters"]</w:t>
              <w:br/>
              <w:t xml:space="preserve">            T5["collections_cases, dunning_actions"]</w:t>
              <w:br/>
              <w:t xml:space="preserve">            T6["classification_history, provision_runs"]</w:t>
              <w:br/>
              <w:t xml:space="preserve">            T7["outbox_events, idempotency_keys"]</w:t>
              <w:br/>
              <w:t xml:space="preserve">        end</w:t>
              <w:br/>
              <w:t xml:space="preserve">        subgraph Schema_Fineract ["mifostenant-default Schema (25 Tables)"]</w:t>
              <w:br/>
              <w:t xml:space="preserve">            F1["m_client, m_group"]</w:t>
              <w:br/>
              <w:t xml:space="preserve">            F2["m_loan, m_loan_repayment_schedule"]</w:t>
              <w:br/>
              <w:t xml:space="preserve">            F3["m_loan_transaction, m_loan_charge"]</w:t>
              <w:br/>
              <w:t xml:space="preserve">            F4["acc_gl_journal_entry, acc_gl_account"]</w:t>
              <w:br/>
              <w:t xml:space="preserve">        end</w:t>
              <w:br/>
              <w:t xml:space="preserve">    end</w:t>
              <w:br/>
              <w:t xml:space="preserve">    API["ULMS Spring Boot API"] --&gt;|Flyway V001..V018| Schema_ULMS</w:t>
              <w:br/>
              <w:t xml:space="preserve">    FIN["Fineract CE 1.12.x"] --&gt;|Fineract Native Migrations| Schema_Fineract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Key Schema Responsibilities: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`ulms_app` (Managed by Flyway):</w:t>
      </w:r>
      <w:r>
        <w:rPr>
          <w:rFonts w:ascii="Segoe UI" w:hAnsi="Segoe UI"/>
          <w:color w:val="2D3748"/>
          <w:sz w:val="19"/>
        </w:rPr>
        <w:t xml:space="preserve"> High-speed customer onboarding, e-KYC documents, loan application wizards, risk scorecards, credit committee approval ladder tasks, BRPD 15/2024 classification board, and transactional outbox events.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`mifostenant-default` (Managed by Fineract Engine):</w:t>
      </w:r>
      <w:r>
        <w:rPr>
          <w:rFonts w:ascii="Segoe UI" w:hAnsi="Segoe UI"/>
          <w:color w:val="2D3748"/>
          <w:sz w:val="19"/>
        </w:rPr>
        <w:t xml:space="preserve"> Authoritative general ledger balances, double-entry accounting journal vouchers, loan amortization schedules, and interest accrual ledgers.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Chronological Flyway Migration Inventory (V001 to V018)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Production interface showing zero schema drift across 67 PostgreSQL tables.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cust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Customer Relational Entity Graph Grounded in Migrated DDL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Production interface showing zero schema drift across 67 PostgreSQL tables.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All schema changes in </w:t>
      </w:r>
      <w:r>
        <w:rPr>
          <w:rFonts w:ascii="Consolas" w:hAnsi="Consolas"/>
          <w:color w:val="801515"/>
          <w:sz w:val="18"/>
        </w:rPr>
        <w:t>ulms_app</w:t>
      </w:r>
      <w:r>
        <w:rPr>
          <w:rFonts w:ascii="Segoe UI" w:hAnsi="Segoe UI"/>
          <w:color w:val="2D3748"/>
          <w:sz w:val="19"/>
        </w:rPr>
        <w:t xml:space="preserve"> are version-controlled, immutable, and sequentially executed via Flyway: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Migration File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Core Tables Created / Altered</w:t>
            </w:r>
          </w:p>
        </w:tc>
        <w:tc>
          <w:tcPr>
            <w:tcW w:type="dxa" w:w="2340"/>
            <w:tcW w:w="234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Architectural Purpose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`V001__init_extensions.sql`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P0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uuid-ossp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pgcrypto</w:t>
            </w:r>
            <w:r>
              <w:rPr>
                <w:rFonts w:ascii="Segoe UI" w:hAnsi="Segoe UI"/>
                <w:color w:val="2D3748"/>
                <w:sz w:val="17"/>
              </w:rPr>
              <w:t xml:space="preserve"> extensions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Enables cryptographic UUID generation and hashing.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`V002__create_customer_tables.sql`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P1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customers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customer_kyc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addresses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customer master register and biometric KYC metadata.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`V003__create_application_tables.sql`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P1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applications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application_co_borrowers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Loan origination pipeline drafts and co-borrower relationships.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`V004__create_collateral_tables.sql`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P1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collaterals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collateral_valuations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Immovable/movable asset registers with forced sale values.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`V005__create_cib_tables.sql`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P2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cib_inquiries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cib_contracts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CIB inquiry cache and contract records.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`V006__create_assessment_tables.sql`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P2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scorecard_results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dbr_calculations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Risk model scoring breakdown and DBR evaluation history.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`V007__create_approval_tables.sql`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P2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approval_tasks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approval_actions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7-stage credit committee delegation ladder and audit trail.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`V008__create_sanction_tables.sql`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P2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sanction_letters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sanction_covenants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Formal loan sanction letters and credit covenants.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`V009__create_servicing_tables.sql`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P3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servicing_disbursements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prepayments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Disbursement tracking and early settlement records.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`V010__create_repayment_tables.sql`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P3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repayment_transactions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repayment_allocations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Teller and gateway cash/cheque repayment journal cache.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`V011__create_webhook_tables.sql`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P3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payment_webhooks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webhook_deliveries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Asynchronous MFS webhook idempotency and replay buffer.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`V012__create_collections_tables.sql`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P4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collections_cases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ptp_records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Delinquency worklist and Promise-to-Pay (PTP) tracking.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`V013__create_dunning_tables.sql`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P4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dunning_actions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legal_notices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dunning letters, SMS reminders, and legal notices.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`V014__create_compliance_tables.sql`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P4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classification_history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provision_runs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BRPD Circular 15/2024 classification snapshots and provision JVs.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`V015__create_outbox_tables.sql`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P0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outbox_events</w:t>
            </w:r>
            <w:r>
              <w:rPr>
                <w:rFonts w:ascii="Segoe UI" w:hAnsi="Segoe UI"/>
                <w:color w:val="2D3748"/>
                <w:sz w:val="17"/>
              </w:rPr>
              <w:t xml:space="preserve">, </w:t>
            </w:r>
            <w:r>
              <w:rPr>
                <w:rFonts w:ascii="Consolas" w:hAnsi="Consolas"/>
                <w:color w:val="801515"/>
                <w:sz w:val="16"/>
              </w:rPr>
              <w:t>outbox_dead_letters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Transactional outbox table for resilient domain event publishing.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`V016__create_idempotency_tables.sql`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P0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idempotency_records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Distributed idempotency locks with TTL timestamps.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`V017__add_indexes_and_constraints.sql`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P5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Foreign keys, composite B-tree indexes</w:t>
            </w:r>
          </w:p>
        </w:tc>
        <w:tc>
          <w:tcPr>
            <w:tcW w:type="dxa" w:w="2340"/>
            <w:tcW w:w="234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Performance tuning for high-density customer/loan lookups.</w:t>
            </w:r>
          </w:p>
        </w:tc>
      </w:tr>
      <w:tr>
        <w:trPr>
          <w:cantSplit/>
        </w:trPr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`V018__audit_trail_triggers.sql`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Phase P5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audit_entries</w:t>
            </w:r>
            <w:r>
              <w:rPr>
                <w:rFonts w:ascii="Segoe UI" w:hAnsi="Segoe UI"/>
                <w:color w:val="2D3748"/>
                <w:sz w:val="17"/>
              </w:rPr>
              <w:t>, change capture triggers</w:t>
            </w:r>
          </w:p>
        </w:tc>
        <w:tc>
          <w:tcPr>
            <w:tcW w:type="dxa" w:w="2340"/>
            <w:tcW w:w="234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regulatory compliance immutable audit log.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Zero-Downtime Database Evolution: The Expand-Contract Pattern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Underlying mifostenant-default schema migration in active servicing mode.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Loan Accounting DDL &amp; Ledger Table Evolution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Underlying mifostenant-default schema migration in active servicing mode.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In a 24/7 banking environment, database schema changes must never require scheduled system downtime or lock tables during active branch banking hours. ULMS mandates the </w:t>
      </w:r>
      <w:r>
        <w:rPr>
          <w:rFonts w:ascii="Segoe UI" w:hAnsi="Segoe UI"/>
          <w:b/>
          <w:color w:val="2D3748"/>
          <w:sz w:val="19"/>
        </w:rPr>
        <w:t>Expand-Contract Pattern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sequenceDiagram</w:t>
              <w:br/>
              <w:t xml:space="preserve">    autonumber</w:t>
              <w:br/>
              <w:t xml:space="preserve">    Note over App,DB: Phase 1: Expand (Release N)</w:t>
              <w:br/>
              <w:t xml:space="preserve">    App-&gt;&gt;DB: Add new column (nullable or with default)</w:t>
              <w:br/>
              <w:t xml:space="preserve">    App-&gt;&gt;DB: Application writes to both old and new columns</w:t>
              <w:br/>
              <w:t xml:space="preserve">    Note over App,DB: Phase 2: Migrate (Background Data Backfill)</w:t>
              <w:br/>
              <w:t xml:space="preserve">    App-&gt;&gt;DB: Background worker backfills existing historical rows</w:t>
              <w:br/>
              <w:t xml:space="preserve">    Note over App,DB: Phase 3: Contract (Release N+1)</w:t>
              <w:br/>
              <w:t xml:space="preserve">    App-&gt;&gt;DB: Application stops reading old column</w:t>
              <w:br/>
              <w:t xml:space="preserve">    App-&gt;&gt;DB: Drop old column safely in subsequent migration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Golden Rules of Non-Locking SQL: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Never add a `NOT NULL` column without a default:</w:t>
      </w:r>
      <w:r>
        <w:rPr>
          <w:rFonts w:ascii="Segoe UI" w:hAnsi="Segoe UI"/>
          <w:color w:val="2D3748"/>
          <w:sz w:val="19"/>
        </w:rPr>
        <w:t xml:space="preserve"> Adding </w:t>
      </w:r>
      <w:r>
        <w:rPr>
          <w:rFonts w:ascii="Consolas" w:hAnsi="Consolas"/>
          <w:color w:val="801515"/>
          <w:sz w:val="18"/>
        </w:rPr>
        <w:t>NOT NULL</w:t>
      </w:r>
      <w:r>
        <w:rPr>
          <w:rFonts w:ascii="Segoe UI" w:hAnsi="Segoe UI"/>
          <w:color w:val="2D3748"/>
          <w:sz w:val="19"/>
        </w:rPr>
        <w:t xml:space="preserve"> without a </w:t>
      </w:r>
      <w:r>
        <w:rPr>
          <w:rFonts w:ascii="Consolas" w:hAnsi="Consolas"/>
          <w:color w:val="801515"/>
          <w:sz w:val="18"/>
        </w:rPr>
        <w:t>DEFAULT</w:t>
      </w:r>
      <w:r>
        <w:rPr>
          <w:rFonts w:ascii="Segoe UI" w:hAnsi="Segoe UI"/>
          <w:color w:val="2D3748"/>
          <w:sz w:val="19"/>
        </w:rPr>
        <w:t xml:space="preserve"> scans and locks the entire table. Always add as nullable first, backfill data, and then add the constraint asynchronously: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-- Safe Column Addition</w:t>
              <w:br/>
              <w:t xml:space="preserve">   ALTER TABLE ulms_app.customers </w:t>
              <w:br/>
              <w:t xml:space="preserve">   ADD COLUMN IF NOT EXISTS national_id_v2 VARCHAR(17);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Never build indexes synchronously on large tables:</w:t>
      </w:r>
      <w:r>
        <w:rPr>
          <w:rFonts w:ascii="Segoe UI" w:hAnsi="Segoe UI"/>
          <w:color w:val="2D3748"/>
          <w:sz w:val="19"/>
        </w:rPr>
        <w:t xml:space="preserve"> Always use </w:t>
      </w:r>
      <w:r>
        <w:rPr>
          <w:rFonts w:ascii="Consolas" w:hAnsi="Consolas"/>
          <w:color w:val="801515"/>
          <w:sz w:val="18"/>
        </w:rPr>
        <w:t>CONCURRENTLY</w:t>
      </w:r>
      <w:r>
        <w:rPr>
          <w:rFonts w:ascii="Segoe UI" w:hAnsi="Segoe UI"/>
          <w:color w:val="2D3748"/>
          <w:sz w:val="19"/>
        </w:rPr>
        <w:t xml:space="preserve"> to avoid blocking writes: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CREATE INDEX CONCURRENTLY IF NOT EXISTS idx_customers_nid_v2 </w:t>
              <w:br/>
              <w:t xml:space="preserve">   ON ulms_app.customers (national_id_v2);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Never rename columns in-place:</w:t>
      </w:r>
      <w:r>
        <w:rPr>
          <w:rFonts w:ascii="Segoe UI" w:hAnsi="Segoe UI"/>
          <w:color w:val="2D3748"/>
          <w:sz w:val="19"/>
        </w:rPr>
        <w:t xml:space="preserve"> A column rename instantly breaks older running API pods during a rolling upgrade. Expand with a new column, dual-write, and contract in the next release cycle.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Emergency Database Runbooks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Runbook 1: Resolving Flyway Checksum Mismatches (`flyway repair`)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API fails to start with </w:t>
      </w:r>
      <w:r>
        <w:rPr>
          <w:rFonts w:ascii="Consolas" w:hAnsi="Consolas"/>
          <w:color w:val="801515"/>
          <w:sz w:val="18"/>
        </w:rPr>
        <w:t>FlywayException: Validate failed: Migration checksum mismatch for migration version V004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Root Cause:</w:t>
      </w:r>
      <w:r>
        <w:rPr>
          <w:rFonts w:ascii="Segoe UI" w:hAnsi="Segoe UI"/>
          <w:color w:val="2D3748"/>
          <w:sz w:val="19"/>
        </w:rPr>
        <w:t xml:space="preserve"> A developer modified the text or whitespace of an already applied migration script instead of creating a new version.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 xml:space="preserve">Inspect differences between the Git migration file and the recorded checksum in </w:t>
      </w:r>
      <w:r>
        <w:rPr>
          <w:rFonts w:ascii="Consolas" w:hAnsi="Consolas"/>
          <w:color w:val="801515"/>
          <w:sz w:val="18"/>
        </w:rPr>
        <w:t>flyway_schema_history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SELECT version, description, checksum, installed_on </w:t>
              <w:br/>
              <w:t xml:space="preserve">  FROM ulms_app.flyway_schema_history </w:t>
              <w:br/>
              <w:t xml:space="preserve">  WHERE version = '004';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If the modification was cosmetic (e.g., adding a comment) and schema integrity is verified: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cd apps/api</w:t>
              <w:br/>
              <w:t xml:space="preserve">  ./gradlew flywayRepair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Consolas" w:hAnsi="Consolas"/>
          <w:color w:val="801515"/>
          <w:sz w:val="18"/>
        </w:rPr>
        <w:t>flywayRepair</w:t>
      </w:r>
      <w:r>
        <w:rPr>
          <w:rFonts w:ascii="Segoe UI" w:hAnsi="Segoe UI"/>
          <w:color w:val="2D3748"/>
          <w:sz w:val="19"/>
        </w:rPr>
        <w:t xml:space="preserve"> command recalculates checksums in </w:t>
      </w:r>
      <w:r>
        <w:rPr>
          <w:rFonts w:ascii="Consolas" w:hAnsi="Consolas"/>
          <w:color w:val="801515"/>
          <w:sz w:val="18"/>
        </w:rPr>
        <w:t>flyway_schema_history</w:t>
      </w:r>
      <w:r>
        <w:rPr>
          <w:rFonts w:ascii="Segoe UI" w:hAnsi="Segoe UI"/>
          <w:color w:val="2D3748"/>
          <w:sz w:val="19"/>
        </w:rPr>
        <w:t xml:space="preserve"> and re-aligns validation.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Runbook 2: Resolving Failed Migrations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Symptom:</w:t>
      </w:r>
      <w:r>
        <w:rPr>
          <w:rFonts w:ascii="Segoe UI" w:hAnsi="Segoe UI"/>
          <w:color w:val="2D3748"/>
          <w:sz w:val="19"/>
        </w:rPr>
        <w:t xml:space="preserve"> Migration fails mid-execution; </w:t>
      </w:r>
      <w:r>
        <w:rPr>
          <w:rFonts w:ascii="Consolas" w:hAnsi="Consolas"/>
          <w:color w:val="801515"/>
          <w:sz w:val="18"/>
        </w:rPr>
        <w:t>flyway_schema_history</w:t>
      </w:r>
      <w:r>
        <w:rPr>
          <w:rFonts w:ascii="Segoe UI" w:hAnsi="Segoe UI"/>
          <w:color w:val="2D3748"/>
          <w:sz w:val="19"/>
        </w:rPr>
        <w:t xml:space="preserve"> records </w:t>
      </w:r>
      <w:r>
        <w:rPr>
          <w:rFonts w:ascii="Consolas" w:hAnsi="Consolas"/>
          <w:color w:val="801515"/>
          <w:sz w:val="18"/>
        </w:rPr>
        <w:t>success = false</w:t>
      </w:r>
      <w:r>
        <w:rPr>
          <w:rFonts w:ascii="Segoe UI" w:hAnsi="Segoe UI"/>
          <w:color w:val="2D3748"/>
          <w:sz w:val="19"/>
        </w:rPr>
        <w:t>. Subsequent boots are blocked.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Remediation Procedure: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Review PostgreSQL server logs to identify the exact failing SQL statement.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In PostgreSQL, DDL inside migrations is wrapped in transactions. Manually correct the underlying issue.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Delete the failed history row: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DELETE FROM ulms_app.flyway_schema_history WHERE version = '$FAILED_VERSION' AND success = false;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 xml:space="preserve">Fix the SQL script and re-run </w:t>
      </w:r>
      <w:r>
        <w:rPr>
          <w:rFonts w:ascii="Consolas" w:hAnsi="Consolas"/>
          <w:color w:val="801515"/>
          <w:sz w:val="18"/>
        </w:rPr>
        <w:t>./gradlew flywayMigrate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Flyway Database Migration &amp; Schema Evolution Guide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