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03366"/>
            <w:tcMar>
              <w:top w:w="260" w:type="dxa"/>
              <w:bottom w:w="260" w:type="dxa"/>
              <w:left w:w="300" w:type="dxa"/>
              <w:right w:w="300" w:type="dxa"/>
            </w:tcMar>
            <w:tcBorders>
              <w:top w:val="single" w:sz="6" w:space="0" w:color="003366"/>
              <w:left w:val="single" w:sz="24" w:space="0" w:color="D4AF37"/>
              <w:bottom w:val="single" w:sz="18" w:space="0" w:color="D4AF37"/>
              <w:right w:val="single" w:sz="6" w:space="0" w:color="003366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D4AF37"/>
                <w:sz w:val="19"/>
              </w:rPr>
              <w:t>UNISOFT LOAN MANAGEMENT SYSTEM (ULMS v2.0) · 03 MAINTENANCE</w:t>
              <w:br/>
            </w:r>
            <w:r>
              <w:rPr>
                <w:rFonts w:ascii="Segoe UI" w:hAnsi="Segoe UI"/>
                <w:b/>
                <w:color w:val="FFFFFF"/>
                <w:sz w:val="34"/>
              </w:rPr>
              <w:t>DOC-03-MNT-06: Historical Data Archival, Range Partitioning &amp; Regulatory Record Retention Specification</w:t>
              <w:br/>
            </w:r>
            <w:r>
              <w:rPr>
                <w:rFonts w:ascii="Segoe UI" w:hAnsi="Segoe UI"/>
                <w:i/>
                <w:color w:val="CBD5E0"/>
                <w:sz w:val="17"/>
              </w:rPr>
              <w:t>Document ID: DOC-03-MNT-06  ·  Standard: Diátaxis / C4 Model  ·  Bangladesh Bank Compliant</w:t>
            </w:r>
          </w:p>
        </w:tc>
      </w:tr>
    </w:tbl>
    <w:p>
      <w:pPr>
        <w:spacing w:before="80" w:after="80"/>
      </w:pP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type: reference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topic: historical_data_archival_partitioning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target_audience: [dba, compliance_officer, data_architect]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version: 2026.10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document_id: DOC-03-MNT-06</w:t>
      </w:r>
    </w:p>
    <w:p>
      <w:pPr>
        <w:keepNext/>
        <w:spacing w:before="280" w:after="80"/>
      </w:pPr>
      <w:r>
        <w:rPr>
          <w:rFonts w:ascii="Segoe UI" w:hAnsi="Segoe UI"/>
          <w:b/>
          <w:color w:val="003366"/>
          <w:sz w:val="29"/>
        </w:rPr>
        <w:t>DOC-03-MNT-06: Historical Data Archival, Range Partitioning &amp; Regulatory Record Retention Specification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1 below, High-density database table partitioning separating active from historical records.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18897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05_customer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1889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1: Partitioned Customer &amp; Loan Relational Table Master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High-density database table partitioning separating active from historical records.</w:t>
      </w:r>
    </w:p>
    <w:p>
      <w:pPr>
        <w:spacing w:before="0" w:after="80" w:line="276" w:lineRule="auto"/>
      </w:pPr>
      <w:r>
        <w:rPr>
          <w:rFonts w:ascii="Segoe UI" w:hAnsi="Segoe UI"/>
          <w:b/>
          <w:color w:val="2D3748"/>
          <w:sz w:val="19"/>
        </w:rPr>
        <w:t>Document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W w:w="468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4680"/>
            <w:tcW w:w="468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Value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Document Title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Data Archival, Partitioning &amp; Record Retention Specification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Project Name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Unisoft Loan Management System (ULMS v2.0)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Document Version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3.0.0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Date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2026-10-07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Classification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Statutory Architecture &amp; Database Specification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Status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Approved Master Specification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Authority Chain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Bank Company Act 1991 §27 → BB ICT Security Guidelines V4.0</w:t>
            </w:r>
          </w:p>
        </w:tc>
      </w:tr>
    </w:tbl>
    <w:p>
      <w:pPr>
        <w:spacing w:before="80" w:after="80"/>
      </w:pPr>
    </w:p>
    <w:p>
      <w:pPr>
        <w:spacing w:before="160" w:after="40"/>
      </w:pPr>
      <w:r>
        <w:rPr>
          <w:rFonts w:ascii="Segoe UI" w:hAnsi="Segoe UI"/>
          <w:b/>
          <w:color w:val="1A365D"/>
          <w:sz w:val="22"/>
        </w:rPr>
        <w:t>Document Revision History &amp; Institutional Sign-Off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985"/>
            <w:tcW w:w="985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Version</w:t>
            </w:r>
          </w:p>
        </w:tc>
        <w:tc>
          <w:tcPr>
            <w:tcW w:type="dxa" w:w="1379"/>
            <w:tcW w:w="1379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Release Date</w:t>
            </w:r>
          </w:p>
        </w:tc>
        <w:tc>
          <w:tcPr>
            <w:tcW w:type="dxa" w:w="1971"/>
            <w:tcW w:w="1971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Author / Role</w:t>
            </w:r>
          </w:p>
        </w:tc>
        <w:tc>
          <w:tcPr>
            <w:tcW w:type="dxa" w:w="3547"/>
            <w:tcW w:w="3547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Summary of Technical Changes</w:t>
            </w:r>
          </w:p>
        </w:tc>
        <w:tc>
          <w:tcPr>
            <w:tcW w:type="dxa" w:w="1478"/>
            <w:tcW w:w="1478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Status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1.0.0</w:t>
            </w:r>
          </w:p>
        </w:tc>
        <w:tc>
          <w:tcPr>
            <w:tcW w:type="dxa" w:w="1379"/>
            <w:tcW w:w="1379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January 2026</w:t>
            </w:r>
          </w:p>
        </w:tc>
        <w:tc>
          <w:tcPr>
            <w:tcW w:type="dxa" w:w="1971"/>
            <w:tcW w:w="1971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Documentation Core Team</w:t>
            </w:r>
          </w:p>
        </w:tc>
        <w:tc>
          <w:tcPr>
            <w:tcW w:type="dxa" w:w="3547"/>
            <w:tcW w:w="354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Initial BRD &amp; Architecture Specification</w:t>
            </w:r>
          </w:p>
        </w:tc>
        <w:tc>
          <w:tcPr>
            <w:tcW w:type="dxa" w:w="1478"/>
            <w:tcW w:w="1478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Draft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2.0.0</w:t>
            </w:r>
          </w:p>
        </w:tc>
        <w:tc>
          <w:tcPr>
            <w:tcW w:type="dxa" w:w="1379"/>
            <w:tcW w:w="1379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February 2026</w:t>
            </w:r>
          </w:p>
        </w:tc>
        <w:tc>
          <w:tcPr>
            <w:tcW w:type="dxa" w:w="1971"/>
            <w:tcW w:w="1971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Principal Systems Architect</w:t>
            </w:r>
          </w:p>
        </w:tc>
        <w:tc>
          <w:tcPr>
            <w:tcW w:type="dxa" w:w="3547"/>
            <w:tcW w:w="3547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Apache Fineract &amp; Spring Boot Monolith Alignment</w:t>
            </w:r>
          </w:p>
        </w:tc>
        <w:tc>
          <w:tcPr>
            <w:tcW w:type="dxa" w:w="1478"/>
            <w:tcW w:w="1478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Approved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3.0.0</w:t>
            </w:r>
          </w:p>
        </w:tc>
        <w:tc>
          <w:tcPr>
            <w:tcW w:type="dxa" w:w="1379"/>
            <w:tcW w:w="1379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October 2026</w:t>
            </w:r>
          </w:p>
        </w:tc>
        <w:tc>
          <w:tcPr>
            <w:tcW w:type="dxa" w:w="1971"/>
            <w:tcW w:w="1971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Principal Auditor &amp; SRE Lead</w:t>
            </w:r>
          </w:p>
        </w:tc>
        <w:tc>
          <w:tcPr>
            <w:tcW w:type="dxa" w:w="3547"/>
            <w:tcW w:w="354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Production Build Parity &amp; Zero-Trust Audit Release</w:t>
            </w:r>
          </w:p>
        </w:tc>
        <w:tc>
          <w:tcPr>
            <w:tcW w:type="dxa" w:w="1478"/>
            <w:tcW w:w="1478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Master Approved</w:t>
            </w:r>
          </w:p>
        </w:tc>
      </w:tr>
    </w:tbl>
    <w:p>
      <w:pPr>
        <w:spacing w:before="80" w:after="80"/>
      </w:pPr>
    </w:p>
    <w:p>
      <w:pPr>
        <w:spacing w:before="240" w:after="80"/>
      </w:pPr>
      <w:r>
        <w:rPr>
          <w:rFonts w:ascii="Segoe UI" w:hAnsi="Segoe UI"/>
          <w:b/>
          <w:color w:val="003366"/>
          <w:sz w:val="28"/>
        </w:rPr>
        <w:t>Table of Contents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7FF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single" w:sz="4" w:space="0" w:color="003366"/>
              <w:left w:val="single" w:sz="24" w:space="0" w:color="003366"/>
              <w:bottom w:val="single" w:sz="4" w:space="0" w:color="003366"/>
              <w:right w:val="single" w:sz="4" w:space="0" w:color="003366"/>
            </w:tcBorders>
          </w:tcPr>
          <w:p>
            <w:pPr>
              <w:spacing w:before="0" w:after="40"/>
            </w:pPr>
            <w:r>
              <w:rPr>
                <w:rFonts w:ascii="Segoe UI" w:hAnsi="Segoe UI"/>
                <w:b/>
                <w:color w:val="003366"/>
                <w:sz w:val="19"/>
              </w:rPr>
              <w:t xml:space="preserve">[NOTE]  </w:t>
            </w:r>
            <w:r>
              <w:rPr>
                <w:rFonts w:ascii="Segoe UI" w:hAnsi="Segoe UI"/>
                <w:color w:val="2D3748"/>
                <w:sz w:val="19"/>
              </w:rPr>
              <w:t>This document contains an automated Microsoft Word field. In Microsoft Word or LibreOffice, right-click this table and select 'Update Field' (or press F9) to refresh section page numbers.</w:t>
            </w:r>
          </w:p>
        </w:tc>
      </w:tr>
    </w:tbl>
    <w:p>
      <w:pPr>
        <w:spacing w:before="40" w:after="80"/>
      </w:pPr>
    </w:p>
    <w:p>
      <w:pPr>
        <w:spacing w:before="120" w:after="240"/>
      </w:pPr>
      <w:r>
        <w:fldChar w:fldCharType="begin"/>
        <w:instrText xml:space="preserve"> TOC \o "1-3" \h \z \u </w:instrText>
        <w:fldChar w:fldCharType="separate"/>
        <w:fldChar w:fldCharType="end"/>
      </w:r>
    </w:p>
    <w:p>
      <w:r>
        <w:br w:type="page"/>
      </w: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1. Statutory Retention Mandates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3 below, Transparent query performance across partitioned loan_transaction historical partitions.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5433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_loan360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5433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3: Active vs Archived Loan Transaction Ledger View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Transparent query performance across partitioned loan_transaction historical partitions.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 xml:space="preserve">The </w:t>
      </w:r>
      <w:r>
        <w:rPr>
          <w:rFonts w:ascii="Segoe UI" w:hAnsi="Segoe UI"/>
          <w:b/>
          <w:color w:val="2D3748"/>
          <w:sz w:val="19"/>
        </w:rPr>
        <w:t>Bank Company Act 1991</w:t>
      </w:r>
      <w:r>
        <w:rPr>
          <w:rFonts w:ascii="Segoe UI" w:hAnsi="Segoe UI"/>
          <w:color w:val="2D3748"/>
          <w:sz w:val="19"/>
        </w:rPr>
        <w:t xml:space="preserve"> requires commercial banks to maintain loan accounting ledgers and borrower KYC records for </w:t>
      </w:r>
      <w:r>
        <w:rPr>
          <w:rFonts w:ascii="Segoe UI" w:hAnsi="Segoe UI"/>
          <w:b/>
          <w:color w:val="2D3748"/>
          <w:sz w:val="19"/>
        </w:rPr>
        <w:t>12 years</w:t>
      </w:r>
      <w:r>
        <w:rPr>
          <w:rFonts w:ascii="Segoe UI" w:hAnsi="Segoe UI"/>
          <w:color w:val="2D3748"/>
          <w:sz w:val="19"/>
        </w:rPr>
        <w:t xml:space="preserve"> following loan account closure. Active transactional databases cannot scale linearly over 12 years without partitioning.</w:t>
      </w: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2. PostgreSQL Declarative Table Partitioning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High-volume tables (</w:t>
      </w:r>
      <w:r>
        <w:rPr>
          <w:rFonts w:ascii="Consolas" w:hAnsi="Consolas"/>
          <w:color w:val="801515"/>
          <w:sz w:val="18"/>
        </w:rPr>
        <w:t>ulms.payment</w:t>
      </w:r>
      <w:r>
        <w:rPr>
          <w:rFonts w:ascii="Segoe UI" w:hAnsi="Segoe UI"/>
          <w:color w:val="2D3748"/>
          <w:sz w:val="19"/>
        </w:rPr>
        <w:t xml:space="preserve"> and </w:t>
      </w:r>
      <w:r>
        <w:rPr>
          <w:rFonts w:ascii="Consolas" w:hAnsi="Consolas"/>
          <w:color w:val="801515"/>
          <w:sz w:val="18"/>
        </w:rPr>
        <w:t>ulms.audit_entry</w:t>
      </w:r>
      <w:r>
        <w:rPr>
          <w:rFonts w:ascii="Segoe UI" w:hAnsi="Segoe UI"/>
          <w:color w:val="2D3748"/>
          <w:sz w:val="19"/>
        </w:rPr>
        <w:t>) are partitioned by date: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sql</w:t>
              <w:br/>
            </w:r>
            <w:r>
              <w:rPr>
                <w:rFonts w:ascii="Consolas" w:hAnsi="Consolas"/>
                <w:color w:val="1A202C"/>
                <w:sz w:val="17"/>
              </w:rPr>
              <w:t>CREATE TABLE ulms.payment_y2026m10 PARTITION OF ulms.payment</w:t>
              <w:br/>
              <w:t xml:space="preserve">    FOR VALUES FROM ('2026-10-01 00:00:00+06') TO ('2026-11-01 00:00:00+06');</w:t>
            </w:r>
          </w:p>
        </w:tc>
      </w:tr>
    </w:tbl>
    <w:p>
      <w:pPr>
        <w:spacing w:before="40" w:after="80"/>
      </w:pP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3. Cold Storage Migration to WORM Storage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2 below, Fast query access across cold archived records for external Bangladesh Bank audits.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5433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_reports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5433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2: Historical Regulatory Returns &amp; Archival Data Browser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Fast query access across cold archived records for external Bangladesh Bank audits.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 xml:space="preserve">Partitions older than 36 months are exported to Apache Parquet format and stored in </w:t>
      </w:r>
      <w:r>
        <w:rPr>
          <w:rFonts w:ascii="Segoe UI" w:hAnsi="Segoe UI"/>
          <w:b/>
          <w:color w:val="2D3748"/>
          <w:sz w:val="19"/>
        </w:rPr>
        <w:t>MinIO WORM (Write Once Read Many)</w:t>
      </w:r>
      <w:r>
        <w:rPr>
          <w:rFonts w:ascii="Segoe UI" w:hAnsi="Segoe UI"/>
          <w:color w:val="2D3748"/>
          <w:sz w:val="19"/>
        </w:rPr>
        <w:t xml:space="preserve"> object storage with strict object locks, ensuring non-mutability and saving expensive SSD storage.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80"/>
      <w:jc w:val="right"/>
    </w:pPr>
    <w:r>
      <w:rPr>
        <w:rFonts w:ascii="Segoe UI" w:hAnsi="Segoe UI"/>
        <w:color w:val="718096"/>
        <w:sz w:val="17"/>
      </w:rPr>
      <w:t xml:space="preserve">Unisoft Systems Limited · Institutional Banking Asset         </w:t>
    </w:r>
    <w:r>
      <w:rPr>
        <w:rFonts w:ascii="Segoe UI" w:hAnsi="Segoe UI"/>
        <w:color w:val="2D3748"/>
        <w:sz w:val="17"/>
      </w:rPr>
      <w:t xml:space="preserve">Page </w:t>
      <w:fldChar w:fldCharType="begin"/>
      <w:instrText xml:space="preserve"> PAGE </w:instrText>
      <w:fldChar w:fldCharType="separate"/>
      <w:fldChar w:fldCharType="end"/>
    </w:r>
    <w:r>
      <w:rPr>
        <w:rFonts w:ascii="Segoe UI" w:hAnsi="Segoe UI"/>
        <w:color w:val="2D3748"/>
        <w:sz w:val="17"/>
      </w:rPr>
      <w:t xml:space="preserve"> of </w:t>
      <w:fldChar w:fldCharType="begin"/>
      <w:instrText xml:space="preserve"> NUMPAGES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80"/>
      <w:jc w:val="right"/>
    </w:pPr>
    <w:r>
      <w:rPr>
        <w:rFonts w:ascii="Segoe UI" w:hAnsi="Segoe UI"/>
        <w:color w:val="718096"/>
        <w:sz w:val="17"/>
      </w:rPr>
      <w:t xml:space="preserve">ULMS v2.0 · DOC-03-MNT-06  |  </w:t>
    </w:r>
    <w:r>
      <w:rPr>
        <w:rFonts w:ascii="Segoe UI" w:hAnsi="Segoe UI"/>
        <w:b/>
        <w:color w:val="C53030"/>
        <w:sz w:val="17"/>
      </w:rPr>
      <w:t>RESTRICTED — BANK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