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03366"/>
            <w:tcMar>
              <w:top w:w="260" w:type="dxa"/>
              <w:bottom w:w="260" w:type="dxa"/>
              <w:left w:w="300" w:type="dxa"/>
              <w:right w:w="300" w:type="dxa"/>
            </w:tcMar>
            <w:tcBorders>
              <w:top w:val="single" w:sz="6" w:space="0" w:color="003366"/>
              <w:left w:val="single" w:sz="24" w:space="0" w:color="D4AF37"/>
              <w:bottom w:val="single" w:sz="18" w:space="0" w:color="D4AF37"/>
              <w:right w:val="single" w:sz="6" w:space="0" w:color="003366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D4AF37"/>
                <w:sz w:val="19"/>
              </w:rPr>
              <w:t>UNISOFT LOAN MANAGEMENT SYSTEM (ULMS v2.0) · 03 MAINTENANCE</w:t>
              <w:br/>
            </w:r>
            <w:r>
              <w:rPr>
                <w:rFonts w:ascii="Segoe UI" w:hAnsi="Segoe UI"/>
                <w:b/>
                <w:color w:val="FFFFFF"/>
                <w:sz w:val="34"/>
              </w:rPr>
              <w:t>DOC-03-MNT-07: Enterprise SSL/TLS Certificate Lifecycle Management &amp; mTLS Renewal Runbook</w:t>
              <w:br/>
            </w:r>
            <w:r>
              <w:rPr>
                <w:rFonts w:ascii="Segoe UI" w:hAnsi="Segoe UI"/>
                <w:i/>
                <w:color w:val="CBD5E0"/>
                <w:sz w:val="17"/>
              </w:rPr>
              <w:t>Document ID: DOC-03-MNT-07  ·  Standard: Diátaxis / C4 Model  ·  Bangladesh Bank Compliant</w:t>
            </w:r>
          </w:p>
        </w:tc>
      </w:tr>
    </w:tbl>
    <w:p>
      <w:pPr>
        <w:spacing w:before="80" w:after="80"/>
      </w:pP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type: how-to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topic: ssl_tls_cert_lifecycle_mtls_renewal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target_audience: [sre, security_engineer, network_admin]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version: 2026.10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document_id: DOC-03-MNT-07</w:t>
      </w:r>
    </w:p>
    <w:p>
      <w:pPr>
        <w:keepNext/>
        <w:spacing w:before="280" w:after="80"/>
      </w:pPr>
      <w:r>
        <w:rPr>
          <w:rFonts w:ascii="Segoe UI" w:hAnsi="Segoe UI"/>
          <w:b/>
          <w:color w:val="003366"/>
          <w:sz w:val="29"/>
        </w:rPr>
        <w:t>DOC-03-MNT-07: Enterprise SSL/TLS Certificate Lifecycle Management &amp; mTLS Renewal Runbook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As illustrated in Figure 1 below, Encrypted transport topology connecting edge ingress, application pods, and core banking systems.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233440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6_topology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23344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1: Mutual TLS (mTLS) Mesh &amp; Enterprise Certificate Topology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Encrypted transport topology connecting edge ingress, application pods, and core banking systems.</w:t>
      </w:r>
    </w:p>
    <w:p>
      <w:pPr>
        <w:spacing w:before="0" w:after="80" w:line="276" w:lineRule="auto"/>
      </w:pPr>
      <w:r>
        <w:rPr>
          <w:rFonts w:ascii="Segoe UI" w:hAnsi="Segoe UI"/>
          <w:b/>
          <w:color w:val="2D3748"/>
          <w:sz w:val="19"/>
        </w:rPr>
        <w:t>Document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W w:w="468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4680"/>
            <w:tcW w:w="468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Value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Document Title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SSL/TLS Lifecycle Management &amp; mTLS Renewal Runbook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Project Name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Unisoft Loan Management System (ULMS v2.0)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Document Version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3.0.0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Date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2026-10-07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Classification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Security Operations Runbook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Status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Approved Master Specification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Authority Chain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Bangladesh Bank ICT Security Guidelines V4.0 §3.2 → TLS 1.3 Mandate</w:t>
            </w:r>
          </w:p>
        </w:tc>
      </w:tr>
    </w:tbl>
    <w:p>
      <w:pPr>
        <w:spacing w:before="80" w:after="80"/>
      </w:pPr>
    </w:p>
    <w:p>
      <w:pPr>
        <w:spacing w:before="160" w:after="40"/>
      </w:pPr>
      <w:r>
        <w:rPr>
          <w:rFonts w:ascii="Segoe UI" w:hAnsi="Segoe UI"/>
          <w:b/>
          <w:color w:val="1A365D"/>
          <w:sz w:val="22"/>
        </w:rPr>
        <w:t>Document Revision History &amp; Institutional Sign-Off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985"/>
            <w:tcW w:w="985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Version</w:t>
            </w:r>
          </w:p>
        </w:tc>
        <w:tc>
          <w:tcPr>
            <w:tcW w:type="dxa" w:w="1379"/>
            <w:tcW w:w="1379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Release Date</w:t>
            </w:r>
          </w:p>
        </w:tc>
        <w:tc>
          <w:tcPr>
            <w:tcW w:type="dxa" w:w="1971"/>
            <w:tcW w:w="1971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Author / Role</w:t>
            </w:r>
          </w:p>
        </w:tc>
        <w:tc>
          <w:tcPr>
            <w:tcW w:type="dxa" w:w="3547"/>
            <w:tcW w:w="3547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Summary of Technical Changes</w:t>
            </w:r>
          </w:p>
        </w:tc>
        <w:tc>
          <w:tcPr>
            <w:tcW w:type="dxa" w:w="1478"/>
            <w:tcW w:w="1478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Status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1.0.0</w:t>
            </w:r>
          </w:p>
        </w:tc>
        <w:tc>
          <w:tcPr>
            <w:tcW w:type="dxa" w:w="1379"/>
            <w:tcW w:w="1379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January 2026</w:t>
            </w:r>
          </w:p>
        </w:tc>
        <w:tc>
          <w:tcPr>
            <w:tcW w:type="dxa" w:w="1971"/>
            <w:tcW w:w="1971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Documentation Core Team</w:t>
            </w:r>
          </w:p>
        </w:tc>
        <w:tc>
          <w:tcPr>
            <w:tcW w:type="dxa" w:w="3547"/>
            <w:tcW w:w="3547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Initial BRD &amp; Architecture Specification</w:t>
            </w:r>
          </w:p>
        </w:tc>
        <w:tc>
          <w:tcPr>
            <w:tcW w:type="dxa" w:w="1478"/>
            <w:tcW w:w="1478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Draft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2.0.0</w:t>
            </w:r>
          </w:p>
        </w:tc>
        <w:tc>
          <w:tcPr>
            <w:tcW w:type="dxa" w:w="1379"/>
            <w:tcW w:w="1379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February 2026</w:t>
            </w:r>
          </w:p>
        </w:tc>
        <w:tc>
          <w:tcPr>
            <w:tcW w:type="dxa" w:w="1971"/>
            <w:tcW w:w="1971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Principal Systems Architect</w:t>
            </w:r>
          </w:p>
        </w:tc>
        <w:tc>
          <w:tcPr>
            <w:tcW w:type="dxa" w:w="3547"/>
            <w:tcW w:w="3547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Apache Fineract &amp; Spring Boot Monolith Alignment</w:t>
            </w:r>
          </w:p>
        </w:tc>
        <w:tc>
          <w:tcPr>
            <w:tcW w:type="dxa" w:w="1478"/>
            <w:tcW w:w="1478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Approved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3.0.0</w:t>
            </w:r>
          </w:p>
        </w:tc>
        <w:tc>
          <w:tcPr>
            <w:tcW w:type="dxa" w:w="1379"/>
            <w:tcW w:w="1379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October 2026</w:t>
            </w:r>
          </w:p>
        </w:tc>
        <w:tc>
          <w:tcPr>
            <w:tcW w:type="dxa" w:w="1971"/>
            <w:tcW w:w="1971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Principal Auditor &amp; SRE Lead</w:t>
            </w:r>
          </w:p>
        </w:tc>
        <w:tc>
          <w:tcPr>
            <w:tcW w:type="dxa" w:w="3547"/>
            <w:tcW w:w="3547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Production Build Parity &amp; Zero-Trust Audit Release</w:t>
            </w:r>
          </w:p>
        </w:tc>
        <w:tc>
          <w:tcPr>
            <w:tcW w:type="dxa" w:w="1478"/>
            <w:tcW w:w="1478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Master Approved</w:t>
            </w:r>
          </w:p>
        </w:tc>
      </w:tr>
    </w:tbl>
    <w:p>
      <w:pPr>
        <w:spacing w:before="80" w:after="80"/>
      </w:pPr>
    </w:p>
    <w:p>
      <w:pPr>
        <w:spacing w:before="240" w:after="80"/>
      </w:pPr>
      <w:r>
        <w:rPr>
          <w:rFonts w:ascii="Segoe UI" w:hAnsi="Segoe UI"/>
          <w:b/>
          <w:color w:val="003366"/>
          <w:sz w:val="28"/>
        </w:rPr>
        <w:t>Table of Contents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7FF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single" w:sz="4" w:space="0" w:color="003366"/>
              <w:left w:val="single" w:sz="24" w:space="0" w:color="003366"/>
              <w:bottom w:val="single" w:sz="4" w:space="0" w:color="003366"/>
              <w:right w:val="single" w:sz="4" w:space="0" w:color="003366"/>
            </w:tcBorders>
          </w:tcPr>
          <w:p>
            <w:pPr>
              <w:spacing w:before="0" w:after="40"/>
            </w:pPr>
            <w:r>
              <w:rPr>
                <w:rFonts w:ascii="Segoe UI" w:hAnsi="Segoe UI"/>
                <w:b/>
                <w:color w:val="003366"/>
                <w:sz w:val="19"/>
              </w:rPr>
              <w:t xml:space="preserve">[NOTE]  </w:t>
            </w:r>
            <w:r>
              <w:rPr>
                <w:rFonts w:ascii="Segoe UI" w:hAnsi="Segoe UI"/>
                <w:color w:val="2D3748"/>
                <w:sz w:val="19"/>
              </w:rPr>
              <w:t>This document contains an automated Microsoft Word field. In Microsoft Word or LibreOffice, right-click this table and select 'Update Field' (or press F9) to refresh section page numbers.</w:t>
            </w:r>
          </w:p>
        </w:tc>
      </w:tr>
    </w:tbl>
    <w:p>
      <w:pPr>
        <w:spacing w:before="40" w:after="80"/>
      </w:pPr>
    </w:p>
    <w:p>
      <w:pPr>
        <w:spacing w:before="120" w:after="240"/>
      </w:pPr>
      <w:r>
        <w:fldChar w:fldCharType="begin"/>
        <w:instrText xml:space="preserve"> TOC \o "1-3" \h \z \u </w:instrText>
        <w:fldChar w:fldCharType="separate"/>
        <w:fldChar w:fldCharType="end"/>
      </w:r>
    </w:p>
    <w:p>
      <w:r>
        <w:br w:type="page"/>
      </w: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1. Certificate Topology &amp; Standards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As illustrated in Figure 3 below, Strong cipher suite enforcement adhering to Bangladesh Bank ICT Security Guidelines.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318897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00_staff_login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1889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3: Production TLS 1.3 Secure Login Gateway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Strong cipher suite enforcement adhering to Bangladesh Bank ICT Security Guidelines.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b/>
          <w:color w:val="2D3748"/>
          <w:sz w:val="19"/>
        </w:rPr>
        <w:t>Edge Ingress:</w:t>
      </w:r>
      <w:r>
        <w:rPr>
          <w:rFonts w:ascii="Segoe UI" w:hAnsi="Segoe UI"/>
          <w:color w:val="2D3748"/>
          <w:sz w:val="19"/>
        </w:rPr>
        <w:t xml:space="preserve"> TLS 1.3 only, ECDHE-ECDSA/RSA cipher suites.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b/>
          <w:color w:val="2D3748"/>
          <w:sz w:val="19"/>
        </w:rPr>
        <w:t>Service-to-Service (East-West):</w:t>
      </w:r>
      <w:r>
        <w:rPr>
          <w:rFonts w:ascii="Segoe UI" w:hAnsi="Segoe UI"/>
          <w:color w:val="2D3748"/>
          <w:sz w:val="19"/>
        </w:rPr>
        <w:t xml:space="preserve"> Mutual TLS (mTLS) with internal Bank Subordinate CA.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b/>
          <w:color w:val="2D3748"/>
          <w:sz w:val="19"/>
        </w:rPr>
        <w:t>Core Banking Connectors:</w:t>
      </w:r>
      <w:r>
        <w:rPr>
          <w:rFonts w:ascii="Segoe UI" w:hAnsi="Segoe UI"/>
          <w:color w:val="2D3748"/>
          <w:sz w:val="19"/>
        </w:rPr>
        <w:t xml:space="preserve"> Hardware Security Module (HSM) or Bank Root CA signed certificates.</w:t>
      </w: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2. Automated Renewal via cert-manager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As illustrated in Figure 2 below, Automated SSL certificate verification across all banking subsystem hostnames.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35433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_index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5433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2: Secure HTTPS Edge Endpoint Directory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Automated SSL certificate verification across all banking subsystem hostnames.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 xml:space="preserve">In Kubernetes/k3s deployments, certificates are managed automatically via </w:t>
      </w:r>
      <w:r>
        <w:rPr>
          <w:rFonts w:ascii="Consolas" w:hAnsi="Consolas"/>
          <w:color w:val="801515"/>
          <w:sz w:val="18"/>
        </w:rPr>
        <w:t>cert-manager</w:t>
      </w:r>
      <w:r>
        <w:rPr>
          <w:rFonts w:ascii="Segoe UI" w:hAnsi="Segoe UI"/>
          <w:color w:val="2D3748"/>
          <w:sz w:val="19"/>
        </w:rPr>
        <w:t>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yaml</w:t>
              <w:br/>
            </w:r>
            <w:r>
              <w:rPr>
                <w:rFonts w:ascii="Consolas" w:hAnsi="Consolas"/>
                <w:color w:val="1A202C"/>
                <w:sz w:val="17"/>
              </w:rPr>
              <w:t>apiVersion: cert-manager.io/v1</w:t>
              <w:br/>
              <w:t>kind: Certificate</w:t>
              <w:br/>
              <w:t>metadata:</w:t>
              <w:br/>
              <w:t xml:space="preserve">  name: ulms-ingress-cert</w:t>
              <w:br/>
              <w:t xml:space="preserve">  namespace: ulms-prod</w:t>
              <w:br/>
              <w:t>spec:</w:t>
              <w:br/>
              <w:t xml:space="preserve">  secretName: ulms-tls-secret</w:t>
              <w:br/>
              <w:t xml:space="preserve">  issuerRef:</w:t>
              <w:br/>
              <w:t xml:space="preserve">    name: bank-internal-ca-issuer</w:t>
              <w:br/>
              <w:t xml:space="preserve">    kind: ClusterIssuer</w:t>
              <w:br/>
              <w:t xml:space="preserve">  dnsNames:</w:t>
              <w:br/>
              <w:t xml:space="preserve">  - lms.bank.local</w:t>
              <w:br/>
              <w:t xml:space="preserve">  - api.lms.bank.local</w:t>
              <w:br/>
              <w:t xml:space="preserve">  renewBefore: 360h # 15 days prior to expiry</w:t>
            </w:r>
          </w:p>
        </w:tc>
      </w:tr>
    </w:tbl>
    <w:p>
      <w:pPr>
        <w:spacing w:before="40" w:after="8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80"/>
      <w:jc w:val="right"/>
    </w:pPr>
    <w:r>
      <w:rPr>
        <w:rFonts w:ascii="Segoe UI" w:hAnsi="Segoe UI"/>
        <w:color w:val="718096"/>
        <w:sz w:val="17"/>
      </w:rPr>
      <w:t xml:space="preserve">Unisoft Systems Limited · Institutional Banking Asset         </w:t>
    </w:r>
    <w:r>
      <w:rPr>
        <w:rFonts w:ascii="Segoe UI" w:hAnsi="Segoe UI"/>
        <w:color w:val="2D3748"/>
        <w:sz w:val="17"/>
      </w:rPr>
      <w:t xml:space="preserve">Page </w:t>
      <w:fldChar w:fldCharType="begin"/>
      <w:instrText xml:space="preserve"> PAGE </w:instrText>
      <w:fldChar w:fldCharType="separate"/>
      <w:fldChar w:fldCharType="end"/>
    </w:r>
    <w:r>
      <w:rPr>
        <w:rFonts w:ascii="Segoe UI" w:hAnsi="Segoe UI"/>
        <w:color w:val="2D3748"/>
        <w:sz w:val="17"/>
      </w:rPr>
      <w:t xml:space="preserve"> of </w:t>
      <w:fldChar w:fldCharType="begin"/>
      <w:instrText xml:space="preserve"> NUMPAGES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80"/>
      <w:jc w:val="right"/>
    </w:pPr>
    <w:r>
      <w:rPr>
        <w:rFonts w:ascii="Segoe UI" w:hAnsi="Segoe UI"/>
        <w:color w:val="718096"/>
        <w:sz w:val="17"/>
      </w:rPr>
      <w:t xml:space="preserve">ULMS v2.0 · DOC-03-MNT-07  |  </w:t>
    </w:r>
    <w:r>
      <w:rPr>
        <w:rFonts w:ascii="Segoe UI" w:hAnsi="Segoe UI"/>
        <w:b/>
        <w:color w:val="C53030"/>
        <w:sz w:val="17"/>
      </w:rPr>
      <w:t>RESTRICTED — BANK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