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DOC-04-DEP-02: Production Helm Charts &amp; Kubernetes Resource Sizing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DOC-04-DEP-02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helm_charts_k8s_resource_sizing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[devops, cloud_architect, sre]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DOC-04-DEP-02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DOC-04-DEP-02: Production Helm Charts &amp; Kubernetes Resource Sizing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Resource allocation blueprint for small, medium, and tier-1 commercial bank deployments.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Kubernetes Cluster Architecture &amp; Resource Sizing Layout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Resource allocation blueprint for small, medium, and tier-1 commercial bank deployments.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Helm Charts &amp; Kubernetes Resource Sizing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DevOps &amp; Infrastructure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DOC-04-DEP-01</w:t>
            </w:r>
            <w:r>
              <w:rPr>
                <w:rFonts w:ascii="Segoe UI" w:hAnsi="Segoe UI"/>
                <w:color w:val="2D3748"/>
                <w:sz w:val="17"/>
              </w:rPr>
              <w:t xml:space="preserve"> → Kubernetes 1.28+ Best Practices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Resource Sizing Matrix for Scheduled Commercial Banks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Concurrent Users</w:t>
            </w:r>
          </w:p>
        </w:tc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Active Loans</w:t>
            </w:r>
          </w:p>
        </w:tc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API Replicas</w:t>
            </w:r>
          </w:p>
        </w:tc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CPU (Req/Limit)</w:t>
            </w:r>
          </w:p>
        </w:tc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RAM (Req/Limit)</w:t>
            </w:r>
          </w:p>
        </w:tc>
        <w:tc>
          <w:tcPr>
            <w:tcW w:type="dxa" w:w="1337"/>
            <w:tcW w:w="133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DB Specs</w:t>
            </w:r>
          </w:p>
        </w:tc>
      </w:tr>
      <w:tr>
        <w:trPr>
          <w:cantSplit/>
        </w:trPr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Small Bank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100 - 300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&lt; 25,000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1000m / 2000m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2Gi / 4Gi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 vCPU, 16GB RAM</w:t>
            </w:r>
          </w:p>
        </w:tc>
      </w:tr>
      <w:tr>
        <w:trPr>
          <w:cantSplit/>
        </w:trPr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Medium Bank</w:t>
            </w:r>
          </w:p>
        </w:tc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300 - 1,000</w:t>
            </w:r>
          </w:p>
        </w:tc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25,000 - 100,000</w:t>
            </w:r>
          </w:p>
        </w:tc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</w:t>
            </w:r>
          </w:p>
        </w:tc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2000m / 4000m</w:t>
            </w:r>
          </w:p>
        </w:tc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4Gi / 8Gi</w:t>
            </w:r>
          </w:p>
        </w:tc>
        <w:tc>
          <w:tcPr>
            <w:tcW w:type="dxa" w:w="1337"/>
            <w:tcW w:w="133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 vCPU, 32GB RAM</w:t>
            </w:r>
          </w:p>
        </w:tc>
      </w:tr>
      <w:tr>
        <w:trPr>
          <w:cantSplit/>
        </w:trPr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Tier-1 Bank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1,000 - 5,000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&gt; 100,000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4000m / 8000m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8Gi / 16Gi</w:t>
            </w:r>
          </w:p>
        </w:tc>
        <w:tc>
          <w:tcPr>
            <w:tcW w:type="dxa" w:w="1337"/>
            <w:tcW w:w="133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16 vCPU, 64GB RAM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Horizontal Pod Autoscaler (HPA) Policy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Real-time CPU and memory metrics guiding Horizontal Pod Autoscaling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Production Host Node Telemetry &amp; Pod Utilization Dashboard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CPU and memory metrics guiding Horizontal Pod Autoscaling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apiVersion: autoscaling/v2</w:t>
              <w:br/>
              <w:t>kind: HorizontalPodAutoscaler</w:t>
              <w:br/>
              <w:t>metadata:</w:t>
              <w:br/>
              <w:t xml:space="preserve">  name: ulms-api-hpa</w:t>
              <w:br/>
              <w:t xml:space="preserve">  namespace: ulms-prod</w:t>
              <w:br/>
              <w:t>spec:</w:t>
              <w:br/>
              <w:t xml:space="preserve">  scaleTargetRef:</w:t>
              <w:br/>
              <w:t xml:space="preserve">    apiVersion: apps/v1</w:t>
              <w:br/>
              <w:t xml:space="preserve">    kind: Deployment</w:t>
              <w:br/>
              <w:t xml:space="preserve">    name: ulms-api</w:t>
              <w:br/>
              <w:t xml:space="preserve">  minReplicas: 3</w:t>
              <w:br/>
              <w:t xml:space="preserve">  maxReplicas: 12</w:t>
              <w:br/>
              <w:t xml:space="preserve">  metrics:</w:t>
              <w:br/>
              <w:t xml:space="preserve">  - type: Resource</w:t>
              <w:br/>
              <w:t xml:space="preserve">    resource:</w:t>
              <w:br/>
              <w:t xml:space="preserve">      name: cpu</w:t>
              <w:br/>
              <w:t xml:space="preserve">      target:</w:t>
              <w:br/>
              <w:t xml:space="preserve">        type: Utilization</w:t>
              <w:br/>
              <w:t xml:space="preserve">        averageUtilization: 70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Cluster Readiness Verification &amp; Container Probe Harness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Liveness and readiness probe verification ensuring zero traffic routing to unready pods.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DOC-04-DEP-02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