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DOC-05-EXT-05: React Staff Portal Screen &amp; High-Density Data Grid Extension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DOC-05-EXT-05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tutorial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react_staff_portal_screen_extension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[frontend_developer, ui_ux_designer]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DOC-05-EXT-05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DOC-05-EXT-05: React Staff Portal Screen &amp; High-Density Data Grid Extension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Unified navigation layout with high-density navigation tiles and responsive layout.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Dynamics 365 Enterprise Navigation &amp; Screen Hub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navigation layout with high-density navigation tiles and responsive layout.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React Staff Portal Screen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Developer Tutorial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React 19 / MUI v7 Guidelines → </w:t>
            </w:r>
            <w:r>
              <w:rPr>
                <w:rFonts w:ascii="Consolas" w:hAnsi="Consolas"/>
                <w:color w:val="801515"/>
                <w:sz w:val="16"/>
              </w:rPr>
              <w:t>Front_end/</w:t>
            </w:r>
            <w:r>
              <w:rPr>
                <w:rFonts w:ascii="Segoe UI" w:hAnsi="Segoe UI"/>
                <w:color w:val="2D3748"/>
                <w:sz w:val="17"/>
              </w:rPr>
              <w:t xml:space="preserve"> Validated UX Prototype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Architectural Principles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Staff Portal screens follow the </w:t>
      </w:r>
      <w:r>
        <w:rPr>
          <w:rFonts w:ascii="Segoe UI" w:hAnsi="Segoe UI"/>
          <w:b/>
          <w:color w:val="2D3748"/>
          <w:sz w:val="19"/>
        </w:rPr>
        <w:t>Dynamics 365 Enterprise Design Pattern</w:t>
      </w:r>
      <w:r>
        <w:rPr>
          <w:rFonts w:ascii="Segoe UI" w:hAnsi="Segoe UI"/>
          <w:color w:val="2D3748"/>
          <w:sz w:val="19"/>
        </w:rPr>
        <w:t>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High data density ($32\text{px}$ compact row heights).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Monospace font for monetary and account numbers (</w:t>
      </w:r>
      <w:r>
        <w:rPr>
          <w:rFonts w:ascii="Consolas" w:hAnsi="Consolas"/>
          <w:color w:val="801515"/>
          <w:sz w:val="18"/>
        </w:rPr>
        <w:t>font-mono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Dual language support (Bengali / English via </w:t>
      </w:r>
      <w:r>
        <w:rPr>
          <w:rFonts w:ascii="Consolas" w:hAnsi="Consolas"/>
          <w:color w:val="801515"/>
          <w:sz w:val="18"/>
        </w:rPr>
        <w:t>react-i18next</w:t>
      </w:r>
      <w:r>
        <w:rPr>
          <w:rFonts w:ascii="Segoe UI" w:hAnsi="Segoe UI"/>
          <w:color w:val="2D3748"/>
          <w:sz w:val="19"/>
        </w:rPr>
        <w:t>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Keyboard shortcuts for rapid banking data entry (e.g. </w:t>
      </w:r>
      <w:r>
        <w:rPr>
          <w:rFonts w:ascii="Consolas" w:hAnsi="Consolas"/>
          <w:color w:val="801515"/>
          <w:sz w:val="18"/>
        </w:rPr>
        <w:t>Alt+A</w:t>
      </w:r>
      <w:r>
        <w:rPr>
          <w:rFonts w:ascii="Segoe UI" w:hAnsi="Segoe UI"/>
          <w:color w:val="2D3748"/>
          <w:sz w:val="19"/>
        </w:rPr>
        <w:t xml:space="preserve"> to Approve, </w:t>
      </w:r>
      <w:r>
        <w:rPr>
          <w:rFonts w:ascii="Consolas" w:hAnsi="Consolas"/>
          <w:color w:val="801515"/>
          <w:sz w:val="18"/>
        </w:rPr>
        <w:t>Alt+S</w:t>
      </w:r>
      <w:r>
        <w:rPr>
          <w:rFonts w:ascii="Segoe UI" w:hAnsi="Segoe UI"/>
          <w:color w:val="2D3748"/>
          <w:sz w:val="19"/>
        </w:rPr>
        <w:t xml:space="preserve"> to Save).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Creating a New Banking Screen in 4 Steps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Define RTK Query Endpoint: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</w:t>
      </w:r>
      <w:r>
        <w:rPr>
          <w:rFonts w:ascii="Consolas" w:hAnsi="Consolas"/>
          <w:color w:val="801515"/>
          <w:sz w:val="18"/>
        </w:rPr>
        <w:t>src/store/api/loanApi.ts</w:t>
      </w:r>
      <w:r>
        <w:rPr>
          <w:rFonts w:ascii="Segoe UI" w:hAnsi="Segoe UI"/>
          <w:color w:val="2D3748"/>
          <w:sz w:val="19"/>
        </w:rPr>
        <w:t xml:space="preserve">, add query hook </w:t>
      </w:r>
      <w:r>
        <w:rPr>
          <w:rFonts w:ascii="Consolas" w:hAnsi="Consolas"/>
          <w:color w:val="801515"/>
          <w:sz w:val="18"/>
        </w:rPr>
        <w:t>useGetCreditAssessmentQuery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Create Page Component: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</w:t>
      </w:r>
      <w:r>
        <w:rPr>
          <w:rFonts w:ascii="Consolas" w:hAnsi="Consolas"/>
          <w:color w:val="801515"/>
          <w:sz w:val="18"/>
        </w:rPr>
        <w:t>src/pages/credit/CreditScorecardPage.tsx</w:t>
      </w:r>
      <w:r>
        <w:rPr>
          <w:rFonts w:ascii="Segoe UI" w:hAnsi="Segoe UI"/>
          <w:color w:val="2D3748"/>
          <w:sz w:val="19"/>
        </w:rPr>
        <w:t xml:space="preserve">, construct layout with </w:t>
      </w:r>
      <w:r>
        <w:rPr>
          <w:rFonts w:ascii="Consolas" w:hAnsi="Consolas"/>
          <w:color w:val="801515"/>
          <w:sz w:val="18"/>
        </w:rPr>
        <w:t>DynamicsHeader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KpiBanner</w:t>
      </w:r>
      <w:r>
        <w:rPr>
          <w:rFonts w:ascii="Segoe UI" w:hAnsi="Segoe UI"/>
          <w:color w:val="2D3748"/>
          <w:sz w:val="19"/>
        </w:rPr>
        <w:t xml:space="preserve">, and </w:t>
      </w:r>
      <w:r>
        <w:rPr>
          <w:rFonts w:ascii="Consolas" w:hAnsi="Consolas"/>
          <w:color w:val="801515"/>
          <w:sz w:val="18"/>
        </w:rPr>
        <w:t>MuiDataGrid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Register Route: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</w:t>
      </w:r>
      <w:r>
        <w:rPr>
          <w:rFonts w:ascii="Consolas" w:hAnsi="Consolas"/>
          <w:color w:val="801515"/>
          <w:sz w:val="18"/>
        </w:rPr>
        <w:t>src/routes.tsx</w:t>
      </w:r>
      <w:r>
        <w:rPr>
          <w:rFonts w:ascii="Segoe UI" w:hAnsi="Segoe UI"/>
          <w:color w:val="2D3748"/>
          <w:sz w:val="19"/>
        </w:rPr>
        <w:t xml:space="preserve">, mount route </w:t>
      </w:r>
      <w:r>
        <w:rPr>
          <w:rFonts w:ascii="Consolas" w:hAnsi="Consolas"/>
          <w:color w:val="801515"/>
          <w:sz w:val="18"/>
        </w:rPr>
        <w:t>/credit/scorecards/:id</w:t>
      </w:r>
      <w:r>
        <w:rPr>
          <w:rFonts w:ascii="Segoe UI" w:hAnsi="Segoe UI"/>
          <w:color w:val="2D3748"/>
          <w:sz w:val="19"/>
        </w:rPr>
        <w:t xml:space="preserve"> protected by </w:t>
      </w:r>
      <w:r>
        <w:rPr>
          <w:rFonts w:ascii="Consolas" w:hAnsi="Consolas"/>
          <w:color w:val="801515"/>
          <w:sz w:val="18"/>
        </w:rPr>
        <w:t>RequireRole(['ROLE_CREDIT_ANALYST'])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Add Navigation Tile: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Add entry to </w:t>
      </w:r>
      <w:r>
        <w:rPr>
          <w:rFonts w:ascii="Consolas" w:hAnsi="Consolas"/>
          <w:color w:val="801515"/>
          <w:sz w:val="18"/>
        </w:rPr>
        <w:t>src/config/nav.ts</w:t>
      </w:r>
      <w:r>
        <w:rPr>
          <w:rFonts w:ascii="Segoe UI" w:hAnsi="Segoe UI"/>
          <w:color w:val="2D3748"/>
          <w:sz w:val="19"/>
        </w:rPr>
        <w:t xml:space="preserve"> under Origination Subsystem.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High-Density MUI DataGrid Custom Entity Grid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Compact banking data grid with monospace currency formatting and instant filtering.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ust3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Custom Banking Form Layout with Live Scorecard Banner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Standardized enterprise card widgets displaying customer credit scoring metrics.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DOC-05-EXT-05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