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DOC-05-EXT-07: Bangladesh Bank Regulatory Return XML/CSV Generation Extension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DOC-05-EXT-07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regulatory_return_xml_csv_generation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[backend_developer, compliance_developer, reporting_analyst]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DOC-05-EXT-07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DOC-05-EXT-07: Bangladesh Bank Regulatory Return XML/CSV Generation Extension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Central reporting hub for scheduled commercial bank statutory returns.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repor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Bangladesh Bank Regulatory Returns &amp; MIS Reporting Center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Central reporting hub for scheduled commercial bank statutory returns.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Regulatory Return XML/CSV Generation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Developer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Regcon Guidelines → BRPD Circular 15/2024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Regulatory Reporting Architecture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Bangladesh Bank mandates quarterly and monthly returns in strict XML and CSV formats (SBS-1, SBS-2, SBS-3, CIB Monthly, and BRPD CL-1 to CL-5).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provides the </w:t>
      </w:r>
      <w:r>
        <w:rPr>
          <w:rFonts w:ascii="Consolas" w:hAnsi="Consolas"/>
          <w:color w:val="801515"/>
          <w:sz w:val="18"/>
        </w:rPr>
        <w:t>RegulatoryReportBuilder</w:t>
      </w:r>
      <w:r>
        <w:rPr>
          <w:rFonts w:ascii="Segoe UI" w:hAnsi="Segoe UI"/>
          <w:color w:val="2D3748"/>
          <w:sz w:val="19"/>
        </w:rPr>
        <w:t xml:space="preserve">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com.uslbd.ulms.compliance.reports;</w:t>
              <w:br/>
              <w:br/>
              <w:t>public interface RegulatoryReportBuilder {</w:t>
              <w:br/>
              <w:t xml:space="preserve">    ReportMetadata getMetadata();</w:t>
              <w:br/>
              <w:t xml:space="preserve">    byte[] generateReport(LocalDate reportingPeriod, ReportFormat format);</w:t>
              <w:br/>
              <w:t xml:space="preserve">    ValidationResult validateAgainstXsd(byte[] payload);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Adding a New Return (e.g. SBS-3 SME Portfolio Return)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Real-time aggregation of loan portfolios into BRPD Circular 15/2024 CL 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bb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Statutory 7-Stage Classification Reporting Board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Real-time aggregation of loan portfolios into BRPD Circular 15/2024 CL tables.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 xml:space="preserve">Implement </w:t>
      </w:r>
      <w:r>
        <w:rPr>
          <w:rFonts w:ascii="Consolas" w:hAnsi="Consolas"/>
          <w:color w:val="801515"/>
          <w:sz w:val="18"/>
        </w:rPr>
        <w:t>Sbs3ReportBuilder.java</w:t>
      </w:r>
      <w:r>
        <w:rPr>
          <w:rFonts w:ascii="Segoe UI" w:hAnsi="Segoe UI"/>
          <w:color w:val="2D3748"/>
          <w:sz w:val="19"/>
        </w:rPr>
        <w:t xml:space="preserve"> in </w:t>
      </w:r>
      <w:r>
        <w:rPr>
          <w:rFonts w:ascii="Consolas" w:hAnsi="Consolas"/>
          <w:color w:val="801515"/>
          <w:sz w:val="18"/>
        </w:rPr>
        <w:t>com.uslbd.ulms.compliance.reports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Extract aggregated loan exposure by industrial sector from </w:t>
      </w:r>
      <w:r>
        <w:rPr>
          <w:rFonts w:ascii="Consolas" w:hAnsi="Consolas"/>
          <w:color w:val="801515"/>
          <w:sz w:val="18"/>
        </w:rPr>
        <w:t>ulms.loan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Format output adhering to BB Regcon XML Schema Definition (XSD).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 xml:space="preserve">Register report definition in </w:t>
      </w:r>
      <w:r>
        <w:rPr>
          <w:rFonts w:ascii="Consolas" w:hAnsi="Consolas"/>
          <w:color w:val="801515"/>
          <w:sz w:val="18"/>
        </w:rPr>
        <w:t>ulms.loan_product</w:t>
      </w:r>
      <w:r>
        <w:rPr>
          <w:rFonts w:ascii="Segoe UI" w:hAnsi="Segoe UI"/>
          <w:color w:val="2D3748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0676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_brp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067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Bangladesh Bank Statutory Calculation Decision Matrix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Authoritative schema rules driving XML return payload generation and XSD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DOC-05-EXT-07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