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DOC-05-EXT-08: Enterprise Test Harness Development, Testcontainers &amp; Mocks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DOC-05-EXT-08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tutorial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enterprise_test_harness_testcontainers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[qa_engineer, backend_developer, ci_cd_engineer]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DOC-05-EXT-08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DOC-05-EXT-08: Enterprise Test Harness Development, Testcontainers &amp; Mocks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Testcontainers launching real database instances ensuring zero SQL compatibility gaps.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528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tes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528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Automated Integration Test Execution with Real PostgreSQL 17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Testcontainers launching real database instances ensuring zero SQL compatibility gaps.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Test Harness Development &amp; Testcontainers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Quality Engineering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DOC-06-QA-01</w:t>
            </w:r>
            <w:r>
              <w:rPr>
                <w:rFonts w:ascii="Segoe UI" w:hAnsi="Segoe UI"/>
                <w:color w:val="2D3748"/>
                <w:sz w:val="17"/>
              </w:rPr>
              <w:t xml:space="preserve"> → Spring Boot 4 Testing Best Practices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Zero-Mock Database Testing with Testcontainers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Deterministic verification of external CIB and NIDW API mocks with WireMock.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selfte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Diagnostic Self-Testbed &amp; Mock Service Scenarios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Deterministic verification of external CIB and NIDW API mocks with WireMock.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rejects in-memory H2 databases for testing because H2 fails to emulate PostgreSQL 17 features (JSONB operators, CTEs, window functions, and Flyway V1-V18 scripts). All integration tests run against real PostgreSQL 17 inside Docker: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@SpringBootTest</w:t>
              <w:br/>
              <w:t>@Testcontainers</w:t>
              <w:br/>
              <w:t>public abstract class AbstractIntegrationTest {</w:t>
              <w:br/>
              <w:t xml:space="preserve">    @Container</w:t>
              <w:br/>
              <w:t xml:space="preserve">    static PostgreSQLContainer&lt;?&gt; postgres = new PostgreSQLContainer&lt;&gt;("postgres:17-alpine")</w:t>
              <w:br/>
              <w:t xml:space="preserve">            .withDatabaseName("ulms_test")</w:t>
              <w:br/>
              <w:t xml:space="preserve">            .withUsername("test")</w:t>
              <w:br/>
              <w:t xml:space="preserve">            .withPassword("test");</w:t>
              <w:br/>
              <w:br/>
              <w:t xml:space="preserve">    @DynamicPropertySource</w:t>
              <w:br/>
              <w:t xml:space="preserve">    static void configureProperties(DynamicPropertyRegistry registry) {</w:t>
              <w:br/>
              <w:t xml:space="preserve">        registry.add("spring.datasource.url", postgres::getJdbcUrl);</w:t>
              <w:br/>
              <w:t xml:space="preserve">    }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d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Quality Engineering &amp; Testing Hub Directory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Unified interface for executing component tests, modularity tests, and E2E journeys.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DOC-05-EXT-08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