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03 MAINTENANCE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DOC-03-MNT-07: Enterprise SSL/TLS Certificate Lifecycle Management &amp; mTLS Renewal Runbook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DOC-03-MNT-07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how-to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ssl_tls_cert_lifecycle_mtls_renewal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[sre, security_engineer, network_admin]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DOC-03-MNT-07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DOC-03-MNT-07: Enterprise SSL/TLS Certificate Lifecycle Management &amp; mTLS Renewal Runbook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Encrypted transport topology connecting edge ingress, application pods, and core banking systems.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23344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_topolog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334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Mutual TLS (mTLS) Mesh &amp; Enterprise Certificate Topology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Encrypted transport topology connecting edge ingress, application pods, and core banking systems.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SSL/TLS Lifecycle Management &amp; mTLS Renewal Runbook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Security Operations Runbook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Bangladesh Bank ICT Security Guidelines V4.0 §3.2 → TLS 1.3 Mandate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  <w:tr>
        <w:tc>
          <w:tcPr>
            <w:tcW w:type="dxa" w:w="1872"/>
          </w:tcPr>
          <w:p>
            <w:r>
              <w:t>3.1.0</w:t>
            </w:r>
          </w:p>
        </w:tc>
        <w:tc>
          <w:tcPr>
            <w:tcW w:type="dxa" w:w="1872"/>
          </w:tcPr>
          <w:p>
            <w:r>
              <w:t>October 2026</w:t>
            </w:r>
          </w:p>
        </w:tc>
        <w:tc>
          <w:tcPr>
            <w:tcW w:type="dxa" w:w="1872"/>
          </w:tcPr>
          <w:p>
            <w:r>
              <w:t>Independent Forensic Re-audit</w:t>
            </w:r>
          </w:p>
        </w:tc>
        <w:tc>
          <w:tcPr>
            <w:tcW w:type="dxa" w:w="1872"/>
          </w:tcPr>
          <w:p>
            <w:r>
              <w:t>Factual corrections per audit/docx_forensic_audit_2026-10-08.md</w:t>
            </w:r>
          </w:p>
        </w:tc>
        <w:tc>
          <w:tcPr>
            <w:tcW w:type="dxa" w:w="1872"/>
          </w:tcPr>
          <w:p>
            <w:r>
              <w:t>Applied</w:t>
            </w:r>
          </w:p>
        </w:tc>
      </w:tr>
      <w:tr>
        <w:tc>
          <w:tcPr>
            <w:tcW w:type="dxa" w:w="1872"/>
          </w:tcPr>
          <w:p>
            <w:r>
              <w:t>3.2.0</w:t>
            </w:r>
          </w:p>
        </w:tc>
        <w:tc>
          <w:tcPr>
            <w:tcW w:type="dxa" w:w="1872"/>
          </w:tcPr>
          <w:p>
            <w:r>
              <w:t>October 2026</w:t>
            </w:r>
          </w:p>
        </w:tc>
        <w:tc>
          <w:tcPr>
            <w:tcW w:type="dxa" w:w="1872"/>
          </w:tcPr>
          <w:p>
            <w:r>
              <w:t>Independent Forensic Re-audit (content expansion)</w:t>
            </w:r>
          </w:p>
        </w:tc>
        <w:tc>
          <w:tcPr>
            <w:tcW w:type="dxa" w:w="1872"/>
          </w:tcPr>
          <w:p>
            <w:r>
              <w:t>Skeletal sections expanded with verified deploy/chart/ulms values and real TLS anchors</w:t>
            </w:r>
          </w:p>
        </w:tc>
        <w:tc>
          <w:tcPr>
            <w:tcW w:type="dxa" w:w="1872"/>
          </w:tcPr>
          <w:p>
            <w:r>
              <w:t>Applied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Certificate Topology &amp; Standards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Strong cipher suite enforcement adhering to Bangladesh Bank ICT Security Guidelines.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0_staff_logi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Production TLS 1.3 Secure Login Gateway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Strong cipher suite enforcement adhering to Bangladesh Bank ICT Security Guidelines.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Edge Ingress:</w:t>
      </w:r>
      <w:r>
        <w:rPr>
          <w:rFonts w:ascii="Segoe UI" w:hAnsi="Segoe UI"/>
          <w:color w:val="2D3748"/>
          <w:sz w:val="19"/>
        </w:rPr>
        <w:t xml:space="preserve"> TLS 1.3 only, ECDHE-ECDSA/RSA cipher suites.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Service-to-Service (East-West):</w:t>
      </w:r>
      <w:r>
        <w:rPr>
          <w:rFonts w:ascii="Segoe UI" w:hAnsi="Segoe UI"/>
          <w:color w:val="2D3748"/>
          <w:sz w:val="19"/>
        </w:rPr>
        <w:t xml:space="preserve"> Mutual TLS (mTLS) with internal Bank Subordinate CA.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Core Banking Connectors:</w:t>
      </w:r>
      <w:r>
        <w:rPr>
          <w:rFonts w:ascii="Segoe UI" w:hAnsi="Segoe UI"/>
          <w:color w:val="2D3748"/>
          <w:sz w:val="19"/>
        </w:rPr>
        <w:t xml:space="preserve"> Hardware Security Module (HSM) or Bank Root CA signed certificates.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Automated Renewal via cert-manager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Automated SSL certificate verification across all banking subsystem hostnames.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dex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Secure HTTPS Edge Endpoint Directory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Automated SSL certificate verification across all banking subsystem hostnames.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In Kubernetes/k3s deployments, certificates are managed automatically via </w:t>
      </w:r>
      <w:r>
        <w:rPr>
          <w:rFonts w:ascii="Consolas" w:hAnsi="Consolas"/>
          <w:color w:val="801515"/>
          <w:sz w:val="18"/>
        </w:rPr>
        <w:t>cert-manager</w:t>
      </w:r>
      <w:r>
        <w:rPr>
          <w:rFonts w:ascii="Segoe UI" w:hAnsi="Segoe UI"/>
          <w:color w:val="2D3748"/>
          <w:sz w:val="19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yaml</w:t>
              <w:br/>
            </w:r>
            <w:r>
              <w:rPr>
                <w:rFonts w:ascii="Consolas" w:hAnsi="Consolas"/>
                <w:color w:val="1A202C"/>
                <w:sz w:val="17"/>
              </w:rPr>
              <w:t>apiVersion: cert-manager.io/v1</w:t>
              <w:br/>
              <w:t>kind: Certificate</w:t>
              <w:br/>
              <w:t>metadata:</w:t>
              <w:br/>
              <w:t xml:space="preserve">  name: ulms-ingress-cert</w:t>
              <w:br/>
              <w:t xml:space="preserve">  namespace: ulms-prod</w:t>
              <w:br/>
              <w:t>spec:</w:t>
              <w:br/>
              <w:t xml:space="preserve">  secretName: ulms-tls-secret</w:t>
              <w:br/>
              <w:t xml:space="preserve">  issuerRef:</w:t>
              <w:br/>
              <w:t xml:space="preserve">    name: bank-internal-ca-issuer</w:t>
              <w:br/>
              <w:t xml:space="preserve">    kind: ClusterIssuer</w:t>
              <w:br/>
              <w:t xml:space="preserve">  dnsNames:</w:t>
              <w:br/>
              <w:t xml:space="preserve">  - lms.bank.local</w:t>
              <w:br/>
              <w:t xml:space="preserve">  - api.lms.bank.local</w:t>
              <w:br/>
              <w:t xml:space="preserve">  renewBefore: 360h # 15 days prior to expiry</w:t>
            </w:r>
          </w:p>
        </w:tc>
      </w:tr>
    </w:tbl>
    <w:p>
      <w:pPr>
        <w:spacing w:before="40" w:after="80"/>
      </w:pPr>
    </w:p>
    <w:p>
      <w:r>
        <w:rPr>
          <w:b/>
        </w:rPr>
        <w:t>Addendum — v3.1.0 corrections (Independent Forensic Re-audit, 8 October 2026)</w:t>
      </w:r>
    </w:p>
    <w:p>
      <w:r>
        <w:t>Expansion pending (flagged by the forensic re-audit): this runbook currently covers topology + cert-manager renewal only; keystore/truststore rotation, expiry monitoring/alerting, and mTLS client-cert rollover procedures are required before operational use.</w:t>
      </w:r>
    </w:p>
    <w:p>
      <w:r>
        <w:rPr>
          <w:b/>
        </w:rPr>
        <w:t>Expanded Content — v3.2.0 (real TLS anchors: ingress ulms-tls, Fineract in-cluster 8443 mTLS, CIB PKCS12)</w:t>
      </w:r>
    </w:p>
    <w:p>
      <w:r>
        <w:t>Certificate inventory (verified from the deployment): (1) Ingress/public TLS — Secret ulms-tls bound via ingress.tls in deploy/chart/ulms/values.yaml; issued by cert-manager or the bank CA. (2) Fineract in-cluster mTLS — the API reaches Fineract at https://fineract:8443/fineract-provider (FINERACT_URL); the client truststore must trust the Fineract server cert. (3) CIB client certificate — PKCS12 keystore mounted at ULMS_CIB_KEYSTORE (cib-live profile), passphrase ULMS_CIB_KEYSTORE_PASSWORD in the ulms-api-secrets Secret. (4) Keycloak browser-facing TLS on the external route (reverse-proxy terminated in compose; ingress-terminated in k3s).</w:t>
      </w:r>
    </w:p>
    <w:p>
      <w:r>
        <w:t>Renewal runbook — public/ingress cert: cert-manager renews automatically; verify with kubectl get certificate -n ulms and force with kubectl delete secret ulms-tls (cert-manager re-issues). Bank-CA route: generate a CSR, obtain the signed cert, then kubectl create secret tls ulms-tls --cert=ulms.crt --key=ulms.key --dry-run=client -o yaml | kubectl apply -f - and roll the web ingress (kubectl rollout restart deployment/ulms-web).</w:t>
      </w:r>
    </w:p>
    <w:p>
      <w:r>
        <w:t>Renewal runbook — Fineract mTLS truststore: replace the Fineract server certificate (helm upgrade with the new fineract image/secret), update the API client truststore Secret, then kubectl rollout restart deployment/ulms-api; verify from inside the pod with a health probe against FINERACT_URL over TLS.</w:t>
      </w:r>
    </w:p>
    <w:p>
      <w:r>
        <w:t>Renewal runbook — CIB client certificate (BB annual rotation): obtain the new PKCS12 from BB CIB administration, update the mounted keystore and ULMS_CIB_KEYSTORE_PASSWORD in ulms-api-secrets, restart the API, and confirm a test CIB inquiry in the cib-live window before the old cert expires — schedule at least 15 days ahead of expiry.</w:t>
      </w:r>
    </w:p>
    <w:p>
      <w:r>
        <w:t>Expiry monitoring: export certificate-notAfter from the ingress (kube-state-metrics or cert-manager metrics) and alert at 30/15/7 days via the observability stack; track the CIB keystore expiry in the ops calendar with a 30-day pre-alert — a missed CIB rotation blocks all CIB inquiries (a SEV-2 per TS-06).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DOC-03-MNT-07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