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04 DEPLOYMENT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DOC-04-DEP-02: Production Helm Charts &amp; Kubernetes Resource Sizing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DOC-04-DEP-02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helm_charts_k8s_resource_sizing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[devops, cloud_architect, sre]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DOC-04-DEP-02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DOC-04-DEP-02: Production Helm Charts &amp; Kubernetes Resource Sizing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Resource allocation blueprint for small, medium, and tier-1 commercial bank deployments.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Kubernetes Cluster Architecture &amp; Resource Sizing Layout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Resource allocation blueprint for small, medium, and tier-1 commercial bank deployments.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Helm Charts &amp; Kubernetes Resource Sizing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DevOps &amp; Infrastructure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DOC-04-DEP-01</w:t>
            </w:r>
            <w:r>
              <w:rPr>
                <w:rFonts w:ascii="Segoe UI" w:hAnsi="Segoe UI"/>
                <w:color w:val="2D3748"/>
                <w:sz w:val="17"/>
              </w:rPr>
              <w:t xml:space="preserve"> → Kubernetes 1.28+ Best Practices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  <w:tr>
        <w:tc>
          <w:tcPr>
            <w:tcW w:type="dxa" w:w="1872"/>
          </w:tcPr>
          <w:p>
            <w:r>
              <w:t>3.2.0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 (content expansion)</w:t>
            </w:r>
          </w:p>
        </w:tc>
        <w:tc>
          <w:tcPr>
            <w:tcW w:type="dxa" w:w="1872"/>
          </w:tcPr>
          <w:p>
            <w:r>
              <w:t>Skeletal sections expanded with verified deploy/chart/ulms values and real TLS anchors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Resource Sizing Matrix for Scheduled Commercial Banks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Tier</w:t>
            </w:r>
          </w:p>
        </w:tc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Concurrent Users</w:t>
            </w:r>
          </w:p>
        </w:tc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Active Loans</w:t>
            </w:r>
          </w:p>
        </w:tc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API Replicas</w:t>
            </w:r>
          </w:p>
        </w:tc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CPU (Req/Limit)</w:t>
            </w:r>
          </w:p>
        </w:tc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RAM (Req/Limit)</w:t>
            </w:r>
          </w:p>
        </w:tc>
        <w:tc>
          <w:tcPr>
            <w:tcW w:type="dxa" w:w="1337"/>
            <w:tcW w:w="133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DB Specs</w:t>
            </w:r>
          </w:p>
        </w:tc>
      </w:tr>
      <w:tr>
        <w:trPr>
          <w:cantSplit/>
        </w:trPr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Small Bank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100 - 300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&lt; 25,000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1000m / 2000m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2Gi / 4Gi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 vCPU, 16GB RAM</w:t>
            </w:r>
          </w:p>
        </w:tc>
      </w:tr>
      <w:tr>
        <w:trPr>
          <w:cantSplit/>
        </w:trPr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Medium Bank</w:t>
            </w:r>
          </w:p>
        </w:tc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300 - 1,000</w:t>
            </w:r>
          </w:p>
        </w:tc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25,000 - 100,000</w:t>
            </w:r>
          </w:p>
        </w:tc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</w:t>
            </w:r>
          </w:p>
        </w:tc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2000m / 4000m</w:t>
            </w:r>
          </w:p>
        </w:tc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4Gi / 8Gi</w:t>
            </w:r>
          </w:p>
        </w:tc>
        <w:tc>
          <w:tcPr>
            <w:tcW w:type="dxa" w:w="1337"/>
            <w:tcW w:w="133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 vCPU, 32GB RAM</w:t>
            </w:r>
          </w:p>
        </w:tc>
      </w:tr>
      <w:tr>
        <w:trPr>
          <w:cantSplit/>
        </w:trPr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Tier-1 Bank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1,000 - 5,000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&gt; 100,000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4000m / 8000m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8Gi / 16Gi</w:t>
            </w:r>
          </w:p>
        </w:tc>
        <w:tc>
          <w:tcPr>
            <w:tcW w:type="dxa" w:w="1337"/>
            <w:tcW w:w="133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16 vCPU, 64GB RAM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Horizontal Pod Autoscaler (HPA) Policy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Real-time CPU and memory metrics guiding Horizontal Pod Autoscaling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hom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Production Host Node Telemetry &amp; Pod Utilization Dashboard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Real-time CPU and memory metrics guiding Horizontal Pod Autoscaling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yaml</w:t>
              <w:br/>
            </w:r>
            <w:r>
              <w:rPr>
                <w:rFonts w:ascii="Consolas" w:hAnsi="Consolas"/>
                <w:color w:val="1A202C"/>
                <w:sz w:val="17"/>
              </w:rPr>
              <w:t>apiVersion: autoscaling/v2</w:t>
              <w:br/>
              <w:t>kind: HorizontalPodAutoscaler</w:t>
              <w:br/>
              <w:t>metadata:</w:t>
              <w:br/>
              <w:t xml:space="preserve">  name: ulms-api-hpa</w:t>
              <w:br/>
              <w:t xml:space="preserve">  namespace: ulms-prod</w:t>
              <w:br/>
              <w:t>spec:</w:t>
              <w:br/>
              <w:t xml:space="preserve">  scaleTargetRef:</w:t>
              <w:br/>
              <w:t xml:space="preserve">    apiVersion: apps/v1</w:t>
              <w:br/>
              <w:t xml:space="preserve">    kind: Deployment</w:t>
              <w:br/>
              <w:t xml:space="preserve">    name: ulms-api</w:t>
              <w:br/>
              <w:t xml:space="preserve">  minReplicas: 3</w:t>
              <w:br/>
              <w:t xml:space="preserve">  maxReplicas: 12</w:t>
              <w:br/>
              <w:t xml:space="preserve">  metrics:</w:t>
              <w:br/>
              <w:t xml:space="preserve">  - type: Resource</w:t>
              <w:br/>
              <w:t xml:space="preserve">    resource:</w:t>
              <w:br/>
              <w:t xml:space="preserve">      name: cpu</w:t>
              <w:br/>
              <w:t xml:space="preserve">      target:</w:t>
              <w:br/>
              <w:t xml:space="preserve">        type: Utilization</w:t>
              <w:br/>
              <w:t xml:space="preserve">        averageUtilization: 70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Cluster Readiness Verification &amp; Container Probe Harness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Liveness and readiness probe verification ensuring zero traffic routing to unready pods.</w:t>
      </w:r>
    </w:p>
    <w:p>
      <w:r>
        <w:rPr>
          <w:b/>
        </w:rPr>
        <w:t>Addendum — v3.1.0 corrections (Independent Forensic Re-audit, 8 October 2026)</w:t>
      </w:r>
    </w:p>
    <w:p>
      <w:r>
        <w:t>Expansion pending (flagged): add the values.yaml parameter matrix from deploy/chart/ulms/values.yaml, chart structure, and helm lint/template verification; reconcile the sample HPA floor (minReplicas 3) with the Small-Bank sizing row (2 replicas).</w:t>
      </w:r>
    </w:p>
    <w:p>
      <w:r>
        <w:rPr>
          <w:b/>
        </w:rPr>
        <w:t>Expanded Content — v3.2.0 (verified against deploy/chart/ulms/values.yaml)</w:t>
      </w:r>
    </w:p>
    <w:p>
      <w:r>
        <w:t>Chart location and structure: the production chart is deploy/chart/ulms (Chart.yaml, values.yaml, templates/). Verify any rendered change with: helm lint deploy/chart/ulms and helm template deploy/chart/ulms -f &lt;env-overlay.yaml&gt; before apply; upgrade with --atomic --timeout 10m.</w:t>
      </w:r>
    </w:p>
    <w:p>
      <w:r>
        <w:t>Parameter matrix (authoritative values.yaml keys): global.imageRegistry / global.pullSecrets — bank mirror registry and pull secrets. api: image ulms-api, tag (defaults to Chart.AppVersion), replicas 2, resources requests 500m/1Gi limits 2/2Gi, env (ULMS_DB_URL jdbc:postgresql://postgresql:5432/ulms; ULMS_OIDC_ISSUER http://keycloak:8080/realms/ulms is the IN-CLUSTER service URL — the browser-facing issuer remains the external route; FINERACT_URL https://fineract:8443/fineract-provider/api/v1 is the in-cluster mTLS endpoint; ULMS_MINIO_ENDPOINT http://minio:9000; ULMS_MINIO_BUCKET ulms-documents; ULMS_CIB_BASE_URL / ULMS_CIB_KEYSTORE for the cib-live window), existingSecret ulms-api-secrets (keys: ULMS_DB_PASSWORD, FINERACT_DB_PASSWORD, FINERACT_USER, FINERACT_PASSWORD, ULMS_MINIO_ACCESS_KEY, ULMS_MINIO_SECRET_KEY, ULMS_RAILS_WEBHOOK_SECRET, ULMS_CIB_KEYSTORE_PASSWORD), probes /actuator/health initialDelay 60s period 10s. web: image ulms-web, replicas 2, 100m/128Mi to 500m/256Mi. postgresql: external flag switches to bank-managed PG, image postgres:17-alpine, persistence 100Gi, existingSecret ulms-pg-secrets (POSTGRES_PASSWORD). keycloak: image quay.io/keycloak/keycloak:26.0, realmImportConfigMap ulms-realm (from deploy/seed/realm-ulms.json), existingSecret ulms-keycloak-secrets (KC_BOOTSTRAP_ADMIN_USERNAME/PASSWORD). fineract: image apache/fineract@fd01236df6 (digest-pinned), persistence 20Gi, existingSecret ulms-fineract-secrets. minio: persistence 200Gi, existingSecret ulms-minio-secrets. ingress: className traefik (k3s default), host ulms.bank.local, tls.secretName ulms-tls (cert-manager or bank CA). observability: prometheus retention 15d, grafana adminSecret ulms-grafana-secrets. networkPolicy: enabled, allowNamespaces [ulms, monitoring].</w:t>
      </w:r>
    </w:p>
    <w:p>
      <w:r>
        <w:t>Scaling note (supersedes the earlier HPA snippet): the shipped chart runs fixed replicas (api 2, web 2) with no HorizontalPodAutoscaler — the HPA manifest printed in earlier drafts was target-state imagination. To scale for a larger bank, raise api.replicas/web.replicas per environment overlay first; introduce an HPA only after load-test evidence (k6 profiles in deploy/perf) justifies autoscaling thresholds.</w:t>
      </w:r>
    </w:p>
    <w:p>
      <w:r>
        <w:t>Sizing tiers (planning guidance, consistent with audit/01 capacity work): Small bank (up to ~25 branches): chart defaults (api 2 x 500m/1Gi, PG 100Gi). Mid bank (25-100 branches): api replicas 3-4, PG 200Gi, Prometheus retention 30d. Large bank (100+ branches): postgresql.external=true onto the bank DB tier, api replicas 4+, dedicated observability namespace.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DOC-04-DEP-02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