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Competitive Battlecard - ULMS v2.0 vs. Temenos LMS / Transact</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DOC-12-BAT-02</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DOC-12-BAT-02</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Internal Sales Enablement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[account_executive, solution_architect, sales_director, pre_sales_engineer]</w:t>
            </w:r>
          </w:p>
        </w:tc>
      </w:tr>
    </w:tbl>
    <w:p>
      <w:pPr>
        <w:spacing w:after="80"/>
      </w:pPr>
    </w:p>
    <w:p>
      <w:pPr>
        <w:pStyle w:val="Heading1"/>
        <w:keepNext/>
      </w:pPr>
      <w:r>
        <w:t>Competitive Battlecard: ULMS v2.0 vs. Temenos LMS / Transact</w:t>
      </w:r>
    </w:p>
    <w:p>
      <w:pPr>
        <w:pStyle w:val="Heading2"/>
        <w:keepNext/>
      </w:pPr>
      <w:r>
        <w:t>Head-to-Head Competitive Intelligence, Trap-Setting Questions &amp; Differentiation Playbook</w:t>
      </w:r>
    </w:p>
    <w:p>
      <w:pPr>
        <w:keepNext/>
        <w:spacing w:before="160" w:after="40"/>
        <w:jc w:val="center"/>
      </w:pPr>
      <w:r>
        <w:drawing>
          <wp:inline xmlns:a="http://schemas.openxmlformats.org/drawingml/2006/main" xmlns:pic="http://schemas.openxmlformats.org/drawingml/2006/picture">
            <wp:extent cx="5688000" cy="3086043"/>
            <wp:docPr id="1" name="Picture 1" descr="Architecture diagram highlighting REST port boundaries" title="Figure 1: Architectural Advantage — CBS-Agnostic Modular Monolith vs. Rigid T24 Lock-In"/>
            <wp:cNvGraphicFramePr>
              <a:graphicFrameLocks noChangeAspect="1"/>
            </wp:cNvGraphicFramePr>
            <a:graphic>
              <a:graphicData uri="http://schemas.openxmlformats.org/drawingml/2006/picture">
                <pic:pic>
                  <pic:nvPicPr>
                    <pic:cNvPr id="0" name="E1_architecture.png"/>
                    <pic:cNvPicPr/>
                  </pic:nvPicPr>
                  <pic:blipFill>
                    <a:blip r:embed="rId11"/>
                    <a:stretch>
                      <a:fillRect/>
                    </a:stretch>
                  </pic:blipFill>
                  <pic:spPr>
                    <a:xfrm>
                      <a:off x="0" y="0"/>
                      <a:ext cx="5688000" cy="3086043"/>
                    </a:xfrm>
                    <a:prstGeom prst="rect"/>
                  </pic:spPr>
                </pic:pic>
              </a:graphicData>
            </a:graphic>
          </wp:inline>
        </w:drawing>
      </w:r>
    </w:p>
    <w:p>
      <w:pPr>
        <w:spacing w:before="40" w:after="160"/>
        <w:jc w:val="center"/>
      </w:pPr>
      <w:r>
        <w:rPr>
          <w:rFonts w:ascii="Calibri" w:hAnsi="Calibri" w:eastAsia="Calibri"/>
          <w:b/>
          <w:i/>
          <w:color w:val="555555"/>
          <w:sz w:val="17"/>
        </w:rPr>
        <w:t>Figure 1: Architectural Advantage — CBS-Agnostic Modular Monolith vs. Rigid T24 Lock-In</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DOC-12-BAT-02</w:t>
      </w:r>
    </w:p>
    <w:p>
      <w:pPr>
        <w:spacing w:after="80" w:line="276" w:lineRule="auto"/>
      </w:pPr>
      <w:r>
        <w:rPr>
          <w:rFonts w:ascii="Calibri" w:hAnsi="Calibri" w:eastAsia="Calibri"/>
          <w:b/>
          <w:i w:val="0"/>
          <w:color w:val="222222"/>
          <w:sz w:val="19"/>
        </w:rPr>
        <w:t>Target Competitor:</w:t>
      </w:r>
      <w:r>
        <w:rPr>
          <w:rFonts w:ascii="Calibri" w:hAnsi="Calibri" w:eastAsia="Calibri"/>
          <w:b w:val="0"/>
          <w:i w:val="0"/>
          <w:color w:val="222222"/>
          <w:sz w:val="19"/>
        </w:rPr>
        <w:t xml:space="preserve"> Temenos AG (Temenos Transact / Temenos Lending Suite)</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Lead Competitive Intelligence Architect &amp; Head of Banking Strategy</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Strictly Confidential — Internal Sales Team Only</w:t>
      </w:r>
    </w:p>
    <w:p>
      <w:pPr>
        <w:pStyle w:val="Heading2"/>
        <w:keepNext/>
      </w:pPr>
      <w:r>
        <w:t>1. Executive Competitor Profile</w:t>
      </w:r>
    </w:p>
    <w:p>
      <w:pPr>
        <w:keepNext/>
        <w:spacing w:before="160" w:after="40"/>
        <w:jc w:val="center"/>
      </w:pPr>
      <w:r>
        <w:drawing>
          <wp:inline xmlns:a="http://schemas.openxmlformats.org/drawingml/2006/main" xmlns:pic="http://schemas.openxmlformats.org/drawingml/2006/picture">
            <wp:extent cx="5688000" cy="3199500"/>
            <wp:docPr id="2" name="Picture 2" descr="Regulatory classification engine screen" title="Figure 2: Compliance Advantage — Native Bangladesh Bank BRPD 15/2024 Engine vs. Temenos Lag"/>
            <wp:cNvGraphicFramePr>
              <a:graphicFrameLocks noChangeAspect="1"/>
            </wp:cNvGraphicFramePr>
            <a:graphic>
              <a:graphicData uri="http://schemas.openxmlformats.org/drawingml/2006/picture">
                <pic:pic>
                  <pic:nvPicPr>
                    <pic:cNvPr id="0" name="s03_classification.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Compliance Advantage — Native Bangladesh Bank BRPD 15/2024 Engine vs. Temenos Lag</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3213"/>
        <w:gridCol w:w="3213"/>
        <w:gridCol w:w="3213"/>
      </w:tblGrid>
      <w:tr>
        <w:trPr>
          <w:tblHeader w:val="true"/>
          <w:cantSplit/>
        </w:trPr>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Parameter</w:t>
            </w:r>
          </w:p>
        </w:tc>
        <w:tc>
          <w:tcPr>
            <w:tcW w:type="dxa" w:w="3118"/>
            <w:shd w:fill="1E2660"/>
            <w:tcMar>
              <w:top w:w="140" w:type="dxa"/>
              <w:bottom w:w="140" w:type="dxa"/>
              <w:left w:w="180" w:type="dxa"/>
              <w:right w:w="180" w:type="dxa"/>
            </w:tcMar>
          </w:tcPr>
          <w:p>
            <w:pPr>
              <w:spacing w:after="40"/>
            </w:pPr>
            <w:r>
              <w:rPr>
                <w:rFonts w:ascii="Calibri" w:hAnsi="Calibri" w:eastAsia="Calibri"/>
                <w:b/>
                <w:i w:val="0"/>
                <w:color w:val="FFFFFF"/>
                <w:sz w:val="18"/>
              </w:rPr>
              <w:t>Temenos Transact / Lending</w:t>
            </w:r>
          </w:p>
        </w:tc>
        <w:tc>
          <w:tcPr>
            <w:tcW w:type="dxa" w:w="4535"/>
            <w:shd w:fill="1E2660"/>
            <w:tcMar>
              <w:top w:w="140" w:type="dxa"/>
              <w:bottom w:w="140" w:type="dxa"/>
              <w:left w:w="180" w:type="dxa"/>
              <w:right w:w="180" w:type="dxa"/>
            </w:tcMar>
          </w:tcPr>
          <w:p>
            <w:pPr>
              <w:spacing w:after="40"/>
            </w:pPr>
            <w:r>
              <w:rPr>
                <w:rFonts w:ascii="Calibri" w:hAnsi="Calibri" w:eastAsia="Calibri"/>
                <w:b/>
                <w:i w:val="0"/>
                <w:color w:val="FFFFFF"/>
                <w:sz w:val="18"/>
              </w:rPr>
              <w:t>Unisoft ULMS v2.0</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Headquarters &amp; Origin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Geneva, Switzerland</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Dhaka, Bangladesh (Smart Technologies Group)</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Bangladesh Footprint</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leading state-owned and private banks (verify current references before live use)</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150+ Enterprise Deployments, National Banking Footprint</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Primary Architecture</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Proprietary TAFJ/jBASE Runtime, Heavy Enterprise Monolith</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Modular Monolith (Spring Boot 4, PostgreSQL 17, React 19)</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Average Deal Size</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$2.5M – $5.0M USD (৳30 – ৳60 Crore BDT)</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BDT 4.00 Crore Turnkey (License + Impl + Training)</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Implementation Horizon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18 to 24 Months</w:t>
            </w:r>
          </w:p>
        </w:tc>
        <w:tc>
          <w:tcPr>
            <w:tcW w:type="dxa" w:w="4535"/>
            <w:tcMar>
              <w:top w:w="120" w:type="dxa"/>
              <w:bottom w:w="120" w:type="dxa"/>
              <w:left w:w="160" w:type="dxa"/>
              <w:right w:w="160" w:type="dxa"/>
            </w:tcMar>
          </w:tcPr>
          <w:p>
            <w:pPr>
              <w:spacing w:after="40" w:line="276" w:lineRule="auto"/>
            </w:pPr>
            <w:r>
              <w:rPr>
                <w:rFonts w:ascii="Calibri" w:hAnsi="Calibri" w:eastAsia="Calibri"/>
                <w:b w:val="0"/>
                <w:i w:val="0"/>
                <w:color w:val="222222"/>
                <w:sz w:val="18"/>
              </w:rPr>
              <w:t>12 Weeks (Guaranteed Pilot Go-Live)</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Local Support Model</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Offshore Support Centers (India/Europe); fly-in consultants</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24/7/365 On-Site Engineering Team in Dhaka</w:t>
            </w:r>
          </w:p>
        </w:tc>
      </w:tr>
    </w:tbl>
    <w:p>
      <w:pPr>
        <w:spacing w:after="80"/>
      </w:pPr>
    </w:p>
    <w:p>
      <w:pPr>
        <w:pStyle w:val="Heading2"/>
        <w:keepNext/>
      </w:pPr>
      <w:r>
        <w:t>2. Competitor Strengths (Where Temenos Excels)</w:t>
      </w:r>
    </w:p>
    <w:p>
      <w:pPr>
        <w:keepNext/>
        <w:spacing w:before="160" w:after="40"/>
        <w:jc w:val="center"/>
      </w:pPr>
      <w:r>
        <w:drawing>
          <wp:inline xmlns:a="http://schemas.openxmlformats.org/drawingml/2006/main" xmlns:pic="http://schemas.openxmlformats.org/drawingml/2006/picture">
            <wp:extent cx="5688000" cy="3528000"/>
            <wp:docPr id="3" name="Picture 3" descr="OpenAPI interface matrix demonstrating universal core banking compatibility" title="Figure 3: Integration Superiority — Open REST API Boundary vs. Proprietary Temenos Protocols"/>
            <wp:cNvGraphicFramePr>
              <a:graphicFrameLocks noChangeAspect="1"/>
            </wp:cNvGraphicFramePr>
            <a:graphic>
              <a:graphicData uri="http://schemas.openxmlformats.org/drawingml/2006/picture">
                <pic:pic>
                  <pic:nvPicPr>
                    <pic:cNvPr id="0" name="E2_endpoints.png"/>
                    <pic:cNvPicPr/>
                  </pic:nvPicPr>
                  <pic:blipFill>
                    <a:blip r:embed="rId13"/>
                    <a:stretch>
                      <a:fillRect/>
                    </a:stretch>
                  </pic:blipFill>
                  <pic:spPr>
                    <a:xfrm>
                      <a:off x="0" y="0"/>
                      <a:ext cx="5688000" cy="3528000"/>
                    </a:xfrm>
                    <a:prstGeom prst="rect"/>
                  </pic:spPr>
                </pic:pic>
              </a:graphicData>
            </a:graphic>
          </wp:inline>
        </w:drawing>
      </w:r>
    </w:p>
    <w:p>
      <w:pPr>
        <w:spacing w:before="40" w:after="160"/>
        <w:jc w:val="center"/>
      </w:pPr>
      <w:r>
        <w:rPr>
          <w:rFonts w:ascii="Calibri" w:hAnsi="Calibri" w:eastAsia="Calibri"/>
          <w:b/>
          <w:i/>
          <w:color w:val="555555"/>
          <w:sz w:val="17"/>
        </w:rPr>
        <w:t>Figure 3: Integration Superiority — Open REST API Boundary vs. Proprietary Temenos Protocols</w:t>
      </w:r>
    </w:p>
    <w:p>
      <w:pPr>
        <w:pStyle w:val="ListBullet"/>
        <w:spacing w:after="40" w:line="276" w:lineRule="auto"/>
      </w:pPr>
      <w:r>
        <w:rPr>
          <w:rFonts w:ascii="Calibri" w:hAnsi="Calibri" w:eastAsia="Calibri"/>
          <w:b/>
          <w:i w:val="0"/>
          <w:color w:val="222222"/>
          <w:sz w:val="19"/>
        </w:rPr>
        <w:t>Established Global Brand:</w:t>
      </w:r>
      <w:r>
        <w:rPr>
          <w:rFonts w:ascii="Calibri" w:hAnsi="Calibri" w:eastAsia="Calibri"/>
          <w:b w:val="0"/>
          <w:i w:val="0"/>
          <w:color w:val="222222"/>
          <w:sz w:val="19"/>
        </w:rPr>
        <w:t xml:space="preserve"> Widely recognized by international rating agencies and multinational bank boards.</w:t>
      </w:r>
    </w:p>
    <w:p>
      <w:pPr>
        <w:pStyle w:val="ListBullet"/>
        <w:spacing w:after="40" w:line="276" w:lineRule="auto"/>
      </w:pPr>
      <w:r>
        <w:rPr>
          <w:rFonts w:ascii="Calibri" w:hAnsi="Calibri" w:eastAsia="Calibri"/>
          <w:b/>
          <w:i w:val="0"/>
          <w:color w:val="222222"/>
          <w:sz w:val="19"/>
        </w:rPr>
        <w:t>Core Banking Footprint:</w:t>
      </w:r>
      <w:r>
        <w:rPr>
          <w:rFonts w:ascii="Calibri" w:hAnsi="Calibri" w:eastAsia="Calibri"/>
          <w:b w:val="0"/>
          <w:i w:val="0"/>
          <w:color w:val="222222"/>
          <w:sz w:val="19"/>
        </w:rPr>
        <w:t xml:space="preserve"> Incumbent CBS in several leading Tier-1 and state-owned commercial banks in Bangladesh.</w:t>
      </w:r>
    </w:p>
    <w:p>
      <w:pPr>
        <w:pStyle w:val="ListBullet"/>
        <w:spacing w:after="40" w:line="276" w:lineRule="auto"/>
      </w:pPr>
      <w:r>
        <w:rPr>
          <w:rFonts w:ascii="Calibri" w:hAnsi="Calibri" w:eastAsia="Calibri"/>
          <w:b/>
          <w:i w:val="0"/>
          <w:color w:val="222222"/>
          <w:sz w:val="19"/>
        </w:rPr>
        <w:t>Broad Functional Scope:</w:t>
      </w:r>
      <w:r>
        <w:rPr>
          <w:rFonts w:ascii="Calibri" w:hAnsi="Calibri" w:eastAsia="Calibri"/>
          <w:b w:val="0"/>
          <w:i w:val="0"/>
          <w:color w:val="222222"/>
          <w:sz w:val="19"/>
        </w:rPr>
        <w:t xml:space="preserve"> Global treasury, multi-currency processing, and complex international trade finance.</w:t>
      </w:r>
    </w:p>
    <w:p>
      <w:pPr>
        <w:pStyle w:val="Heading2"/>
        <w:keepNext/>
      </w:pPr>
      <w:r>
        <w:t>3. Competitor Critical Vulnerabilities (Where ULMS Wins)</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System Architecture Specification (Mermaid DSL):  [Diagram Topology: flowchart TD]</w:t>
              <w:br/>
              <w:t>flowchart TD</w:t>
              <w:br/>
              <w:t xml:space="preserve">    subgraph Temenos ["Temenos Lending Vulnerabilities"]</w:t>
              <w:br/>
              <w:t xml:space="preserve">        T1["High USD TCO: $3M+ License + 22% USD AMC"]</w:t>
              <w:br/>
              <w:t xml:space="preserve">        T2["Proprietary Lock-in: TAFJ/jBASE Consultant Shortage"]</w:t>
              <w:br/>
              <w:t xml:space="preserve">        T3["Regulatory Lag: No native BRPD 15 7-stage engine"]</w:t>
              <w:br/>
              <w:t xml:space="preserve">        T4["18-24 Month Average Implementation Cycle"]        T5["Cloud-Only Roadmap Conflicts with BB On-Prem Mandate"]    end</w:t>
            </w:r>
            <w:r>
              <w:rPr>
                <w:rFonts w:ascii="Calibri" w:hAnsi="Calibri" w:eastAsia="Calibri"/>
                <w:b w:val="0"/>
                <w:i w:val="0"/>
                <w:color w:val="222222"/>
                <w:sz w:val="18"/>
              </w:rPr>
            </w:r>
          </w:p>
        </w:tc>
      </w:tr>
    </w:tbl>
    <w:p>
      <w:pPr>
        <w:spacing w:after="80"/>
      </w:pPr>
    </w:p>
    <w:p>
      <w:pPr>
        <w:pStyle w:val="Heading3"/>
        <w:keepNext/>
      </w:pPr>
      <w:r>
        <w:t>1. The Core Banking Coupling Trap:</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Temenos strongly pushes banks to adopt its full Transact stack. Deploying Temenos Lending as a standalone LMS alongside a non-Temenos CBS (e.g., Finacle or Misys) is notoriously complex, brittle, and expensive.</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"ULMS v2.0 is CBS-agnostic. Whether your bank runs Temenos, Finacle, or an in-house CBS, ULMS integrates via standard REST/ISO-20022 connectors within 4 weeks without disrupting your core ledger."</w:t>
      </w:r>
    </w:p>
    <w:p>
      <w:pPr>
        <w:pStyle w:val="Heading3"/>
        <w:keepNext/>
      </w:pPr>
      <w:r>
        <w:t>2. Astronomical Foreign Currency Total Cost of Ownership:</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Temenos contracts are denominated in US Dollars or Swiss Francs. Under Bangladesh Bank foreign exchange rationing, remitting millions of dollars abroad requires central bank approval and creates heavy forex depreciation losses.</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"ULMS is 100% invoiced in Bangladeshi Taka (BDT) with full NBR VAT compliance. You eliminate all forex risk, avoid Bangladesh Bank remittance delays, and save ৳89.30 Crore over 5 years (DOC-32 TCO variance)."</w:t>
      </w:r>
    </w:p>
    <w:p>
      <w:pPr>
        <w:pStyle w:val="Heading3"/>
        <w:keepNext/>
      </w:pPr>
      <w:r>
        <w:t>3. Lack of Native Bangladesh Bank Regulatory Automation:</w:t>
      </w:r>
    </w:p>
    <w:p>
      <w:pPr>
        <w:pStyle w:val="ListBullet"/>
        <w:spacing w:after="40" w:line="276" w:lineRule="auto"/>
      </w:pPr>
      <w:r>
        <w:rPr>
          <w:rFonts w:ascii="Calibri" w:hAnsi="Calibri" w:eastAsia="Calibri"/>
          <w:b/>
          <w:i w:val="0"/>
          <w:color w:val="222222"/>
          <w:sz w:val="19"/>
        </w:rPr>
        <w:t>The Reality:</w:t>
      </w:r>
      <w:r>
        <w:rPr>
          <w:rFonts w:ascii="Calibri" w:hAnsi="Calibri" w:eastAsia="Calibri"/>
          <w:b w:val="0"/>
          <w:i w:val="0"/>
          <w:color w:val="222222"/>
          <w:sz w:val="19"/>
        </w:rPr>
        <w:t xml:space="preserve"> Temenos requires expensive external system integrators to write custom code for Bangladesh Bank BRPD Circular 15/2024 (7-stage classification), CIB Online REST inquiries, and BFIU e-KYC guidelines.</w:t>
      </w:r>
    </w:p>
    <w:p>
      <w:pPr>
        <w:pStyle w:val="ListBullet"/>
        <w:spacing w:after="40" w:line="276" w:lineRule="auto"/>
      </w:pPr>
      <w:r>
        <w:rPr>
          <w:rFonts w:ascii="Calibri" w:hAnsi="Calibri" w:eastAsia="Calibri"/>
          <w:b/>
          <w:i w:val="0"/>
          <w:color w:val="222222"/>
          <w:sz w:val="19"/>
        </w:rPr>
        <w:t>The Pitch:</w:t>
      </w:r>
      <w:r>
        <w:rPr>
          <w:rFonts w:ascii="Calibri" w:hAnsi="Calibri" w:eastAsia="Calibri"/>
          <w:b w:val="0"/>
          <w:i w:val="0"/>
          <w:color w:val="222222"/>
          <w:sz w:val="19"/>
        </w:rPr>
        <w:t xml:space="preserve"> </w:t>
      </w:r>
      <w:r>
        <w:rPr>
          <w:rFonts w:ascii="Calibri" w:hAnsi="Calibri" w:eastAsia="Calibri"/>
          <w:b w:val="0"/>
          <w:i/>
          <w:color w:val="222222"/>
          <w:sz w:val="19"/>
        </w:rPr>
        <w:t>"ULMS v2.0 was architected specifically for Bangladesh Bank regulations. The 7-stage BRPD 15 engine, real-time CIB parser, and Election Commission NIDW biometric matching work on Day 1 out of the box."</w:t>
      </w:r>
    </w:p>
    <w:p>
      <w:pPr>
        <w:pStyle w:val="Heading2"/>
        <w:keepNext/>
      </w:pPr>
      <w:r>
        <w:t>4. Head-to-Head Feature Comparison Matrix</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2409"/>
        <w:gridCol w:w="2409"/>
        <w:gridCol w:w="2409"/>
        <w:gridCol w:w="2409"/>
      </w:tblGrid>
      <w:tr>
        <w:trPr>
          <w:tblHeader w:val="true"/>
          <w:cantSplit/>
        </w:trPr>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Functional Dimension</w:t>
            </w:r>
          </w:p>
        </w:tc>
        <w:tc>
          <w:tcPr>
            <w:tcW w:type="dxa" w:w="1814"/>
            <w:shd w:fill="1E2660"/>
            <w:tcMar>
              <w:top w:w="140" w:type="dxa"/>
              <w:bottom w:w="140" w:type="dxa"/>
              <w:left w:w="180" w:type="dxa"/>
              <w:right w:w="180" w:type="dxa"/>
            </w:tcMar>
          </w:tcPr>
          <w:p>
            <w:pPr>
              <w:spacing w:after="40"/>
            </w:pPr>
            <w:r>
              <w:rPr>
                <w:rFonts w:ascii="Calibri" w:hAnsi="Calibri" w:eastAsia="Calibri"/>
                <w:b/>
                <w:i w:val="0"/>
                <w:color w:val="FFFFFF"/>
                <w:sz w:val="18"/>
              </w:rPr>
              <w:t>Temenos Lending</w:t>
            </w:r>
          </w:p>
        </w:tc>
        <w:tc>
          <w:tcPr>
            <w:tcW w:type="dxa" w:w="2438"/>
            <w:shd w:fill="1E2660"/>
            <w:tcMar>
              <w:top w:w="140" w:type="dxa"/>
              <w:bottom w:w="140" w:type="dxa"/>
              <w:left w:w="180" w:type="dxa"/>
              <w:right w:w="180" w:type="dxa"/>
            </w:tcMar>
          </w:tcPr>
          <w:p>
            <w:pPr>
              <w:spacing w:after="40"/>
            </w:pPr>
            <w:r>
              <w:rPr>
                <w:rFonts w:ascii="Calibri" w:hAnsi="Calibri" w:eastAsia="Calibri"/>
                <w:b/>
                <w:i w:val="0"/>
                <w:color w:val="FFFFFF"/>
                <w:sz w:val="18"/>
              </w:rPr>
              <w:t>Unisoft ULMS v2.0</w:t>
            </w:r>
          </w:p>
        </w:tc>
        <w:tc>
          <w:tcPr>
            <w:tcW w:type="dxa" w:w="3685"/>
            <w:shd w:fill="1E2660"/>
            <w:tcMar>
              <w:top w:w="140" w:type="dxa"/>
              <w:bottom w:w="140" w:type="dxa"/>
              <w:left w:w="180" w:type="dxa"/>
              <w:right w:w="180" w:type="dxa"/>
            </w:tcMar>
          </w:tcPr>
          <w:p>
            <w:pPr>
              <w:spacing w:after="40"/>
            </w:pPr>
            <w:r>
              <w:rPr>
                <w:rFonts w:ascii="Calibri" w:hAnsi="Calibri" w:eastAsia="Calibri"/>
                <w:b/>
                <w:i w:val="0"/>
                <w:color w:val="FFFFFF"/>
                <w:sz w:val="18"/>
              </w:rPr>
              <w:t>Win Evaluation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BRPD 15/2024 7-Stage Classification</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Custom Build ($150k+ change order)</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Native Deterministic Engine Included</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Real-Time CIB Online REST Integration</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Custom Middleware</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Certified Pre-Built Connector</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Election Commission e-KYC Integration</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3rd-Party Gateway</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Native Face Match &amp; OCR Liveness</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Islamic Shariah Modes (Murabaha, Ijara)</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Complex Module Upgrade ($300k+)</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Native Multi-Asset Shariah Engine</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Field Collection Offline Mobile App</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Basic / Third-party Dependent</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Native Expo 54+ App with GPS Geotagging</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Time to Market</w:t>
            </w:r>
          </w:p>
        </w:tc>
        <w:tc>
          <w:tcPr>
            <w:tcW w:type="dxa" w:w="1814"/>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18–24 Months</w:t>
            </w:r>
          </w:p>
        </w:tc>
        <w:tc>
          <w:tcPr>
            <w:tcW w:type="dxa" w:w="2438"/>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12 Weeks Turnkey Pilot</w:t>
            </w:r>
          </w:p>
        </w:tc>
        <w:tc>
          <w:tcPr>
            <w:tcW w:type="dxa" w:w="368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ULMS Decisive Win</w:t>
            </w:r>
          </w:p>
        </w:tc>
      </w:tr>
      <w:tr>
        <w:trPr>
          <w:cantSplit/>
        </w:trPr>
        <w:tc>
          <w:tcPr>
            <w:tcW w:type="dxa" w:w="1701"/>
            <w:tcMar>
              <w:top w:w="120" w:type="dxa"/>
              <w:bottom w:w="120" w:type="dxa"/>
              <w:left w:w="160" w:type="dxa"/>
              <w:right w:w="160" w:type="dxa"/>
            </w:tcMar>
          </w:tcPr>
          <w:p>
            <w:pPr>
              <w:spacing w:after="40" w:line="276" w:lineRule="auto"/>
            </w:pPr>
            <w:r>
              <w:rPr>
                <w:rFonts w:ascii="Calibri" w:hAnsi="Calibri" w:eastAsia="Calibri"/>
                <w:b/>
                <w:i w:val="0"/>
                <w:color w:val="222222"/>
                <w:sz w:val="18"/>
              </w:rPr>
              <w:t>5-Year Total Cost of Ownership</w:t>
            </w:r>
          </w:p>
        </w:tc>
        <w:tc>
          <w:tcPr>
            <w:tcW w:type="dxa" w:w="1814"/>
            <w:tcMar>
              <w:top w:w="120" w:type="dxa"/>
              <w:bottom w:w="120" w:type="dxa"/>
              <w:left w:w="160" w:type="dxa"/>
              <w:right w:w="160" w:type="dxa"/>
            </w:tcMar>
          </w:tcPr>
          <w:p>
            <w:pPr>
              <w:spacing w:after="40" w:line="276" w:lineRule="auto"/>
            </w:pPr>
            <w:r>
              <w:rPr>
                <w:rFonts w:ascii="Calibri" w:hAnsi="Calibri" w:eastAsia="Calibri"/>
                <w:b w:val="0"/>
                <w:i w:val="0"/>
                <w:color w:val="222222"/>
                <w:sz w:val="18"/>
              </w:rPr>
              <w:t>৳89.30 Crore BDT equivalent</w:t>
            </w:r>
          </w:p>
        </w:tc>
        <w:tc>
          <w:tcPr>
            <w:tcW w:type="dxa" w:w="2438"/>
            <w:tcMar>
              <w:top w:w="120" w:type="dxa"/>
              <w:bottom w:w="120" w:type="dxa"/>
              <w:left w:w="160" w:type="dxa"/>
              <w:right w:w="160" w:type="dxa"/>
            </w:tcMar>
          </w:tcPr>
          <w:p>
            <w:pPr>
              <w:spacing w:after="40" w:line="276" w:lineRule="auto"/>
            </w:pPr>
            <w:r>
              <w:rPr>
                <w:rFonts w:ascii="Calibri" w:hAnsi="Calibri" w:eastAsia="Calibri"/>
                <w:b/>
                <w:i w:val="0"/>
                <w:color w:val="222222"/>
                <w:sz w:val="18"/>
              </w:rPr>
              <w:t>৳7.50 Crore BDT (incl. AMC)</w:t>
            </w:r>
          </w:p>
        </w:tc>
        <w:tc>
          <w:tcPr>
            <w:tcW w:type="dxa" w:w="3685"/>
            <w:tcMar>
              <w:top w:w="120" w:type="dxa"/>
              <w:bottom w:w="120" w:type="dxa"/>
              <w:left w:w="160" w:type="dxa"/>
              <w:right w:w="160" w:type="dxa"/>
            </w:tcMar>
          </w:tcPr>
          <w:p>
            <w:pPr>
              <w:spacing w:after="40" w:line="276" w:lineRule="auto"/>
            </w:pPr>
            <w:r>
              <w:rPr>
                <w:rFonts w:ascii="Calibri" w:hAnsi="Calibri" w:eastAsia="Calibri"/>
                <w:b/>
                <w:i w:val="0"/>
                <w:color w:val="222222"/>
                <w:sz w:val="18"/>
              </w:rPr>
              <w:t>ULMS saves ৳89.30 Cr</w:t>
            </w:r>
          </w:p>
        </w:tc>
      </w:tr>
    </w:tbl>
    <w:p>
      <w:pPr>
        <w:spacing w:after="80"/>
      </w:pPr>
    </w:p>
    <w:p>
      <w:pPr>
        <w:pStyle w:val="Heading2"/>
        <w:keepNext/>
      </w:pPr>
      <w:r>
        <w:t>5. Trap-Setting RFP Questions to Disqualify Temenos</w:t>
      </w:r>
    </w:p>
    <w:p>
      <w:pPr>
        <w:spacing w:after="80" w:line="276" w:lineRule="auto"/>
      </w:pPr>
      <w:r>
        <w:rPr>
          <w:rFonts w:ascii="Calibri" w:hAnsi="Calibri" w:eastAsia="Calibri"/>
          <w:b w:val="0"/>
          <w:i w:val="0"/>
          <w:color w:val="222222"/>
          <w:sz w:val="19"/>
        </w:rPr>
        <w:t>Arm your internal champion (CIO, CRO, or Head of Procurement) with these mandatory RFP evaluation criteria:</w:t>
      </w:r>
    </w:p>
    <w:p>
      <w:pPr>
        <w:pStyle w:val="ListNumber"/>
        <w:spacing w:after="40" w:line="276" w:lineRule="auto"/>
      </w:pPr>
      <w:r>
        <w:rPr>
          <w:rFonts w:ascii="Calibri" w:hAnsi="Calibri" w:eastAsia="Calibri"/>
          <w:b/>
          <w:i w:val="0"/>
          <w:color w:val="222222"/>
          <w:sz w:val="19"/>
        </w:rPr>
        <w:t>For the RFP Technical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"Does the proposed loan management platform provide a pre-built, production-certified connector for Bangladesh Bank's CIB Online REST API, or does this require bespoke development and separate consulting charges?"</w:t>
      </w:r>
    </w:p>
    <w:p>
      <w:pPr>
        <w:spacing w:after="80" w:line="276" w:lineRule="auto"/>
      </w:pPr>
      <w:r>
        <w:rPr>
          <w:rFonts w:ascii="Calibri" w:hAnsi="Calibri" w:eastAsia="Calibri"/>
          <w:b w:val="0"/>
          <w:i/>
          <w:color w:val="222222"/>
          <w:sz w:val="19"/>
        </w:rPr>
        <w:t>(Temenos must answer 'Custom Development', incurring heavy technical score penalties).</w:t>
      </w:r>
    </w:p>
    <w:p>
      <w:pPr>
        <w:pStyle w:val="ListNumber"/>
        <w:spacing w:after="40" w:line="276" w:lineRule="auto"/>
      </w:pPr>
      <w:r>
        <w:rPr>
          <w:rFonts w:ascii="Calibri" w:hAnsi="Calibri" w:eastAsia="Calibri"/>
          <w:b/>
          <w:i w:val="0"/>
          <w:color w:val="222222"/>
          <w:sz w:val="19"/>
        </w:rPr>
        <w:t>For the Risk &amp; Compliance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"Can the system automatically classify loans into STD-0, STD-1, STD-2, SMA, SS, DF, and B/L per BRPD Circular 15/2024, deduct eligible collateral according to Bangladesh Bank haircuts, and generate regulatory returns CL-1 through CL-5 natively without spreadsheet export?"</w:t>
      </w:r>
    </w:p>
    <w:p>
      <w:pPr>
        <w:spacing w:after="80" w:line="276" w:lineRule="auto"/>
      </w:pPr>
      <w:r>
        <w:rPr>
          <w:rFonts w:ascii="Calibri" w:hAnsi="Calibri" w:eastAsia="Calibri"/>
          <w:b w:val="0"/>
          <w:i/>
          <w:color w:val="222222"/>
          <w:sz w:val="19"/>
        </w:rPr>
        <w:t>(Temenos cannot do this natively).</w:t>
      </w:r>
    </w:p>
    <w:p>
      <w:pPr>
        <w:pStyle w:val="ListNumber"/>
        <w:spacing w:after="40" w:line="276" w:lineRule="auto"/>
      </w:pPr>
      <w:r>
        <w:rPr>
          <w:rFonts w:ascii="Calibri" w:hAnsi="Calibri" w:eastAsia="Calibri"/>
          <w:b/>
          <w:i w:val="0"/>
          <w:color w:val="222222"/>
          <w:sz w:val="19"/>
        </w:rPr>
        <w:t>For the Tender &amp; Commercial Committee:</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"Is the vendor willing to execute a 100% BDT-denominated contract with a fixed-fee implementation warranty, guaranteeing zero foreign currency outflow and 30-minute metro on-site SLA (2-hour nationwide)?"</w:t>
      </w:r>
    </w:p>
    <w:p>
      <w:pPr>
        <w:spacing w:after="80" w:line="276" w:lineRule="auto"/>
      </w:pPr>
      <w:r>
        <w:rPr>
          <w:rFonts w:ascii="Calibri" w:hAnsi="Calibri" w:eastAsia="Calibri"/>
          <w:b w:val="0"/>
          <w:i/>
          <w:color w:val="222222"/>
          <w:sz w:val="19"/>
        </w:rPr>
        <w:t>(Temenos will refuse foreign exchange indemnification).</w:t>
      </w:r>
    </w:p>
    <w:p>
      <w:pPr>
        <w:spacing w:after="80" w:line="276" w:lineRule="auto"/>
      </w:pPr>
      <w:r>
        <w:rPr>
          <w:rFonts w:ascii="Calibri" w:hAnsi="Calibri" w:eastAsia="Calibri"/>
          <w:b w:val="0"/>
          <w:i/>
          <w:color w:val="222222"/>
          <w:sz w:val="19"/>
        </w:rPr>
        <w:t>Unisoft Systems Limited — Competitive Intelligence &amp; Banking Sales Operations.</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Competitive Battlecard - ULMS v2.0 vs. Temeno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Competitive Battlecard - ULMS v2.0 vs. Temenos LMS / Transact</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