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Competitive Battlecard - ULMS v2.0 vs. Nucleus Software FinnOne Neo</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DOC-13-BAT-03</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DOC-13-BAT-03</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Confidential Internal Sales Enablement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[account_executive, solution_architect, sales_director, pre_sales_engineer]</w:t>
            </w:r>
          </w:p>
        </w:tc>
      </w:tr>
    </w:tbl>
    <w:p>
      <w:pPr>
        <w:spacing w:after="80"/>
      </w:pPr>
    </w:p>
    <w:p>
      <w:pPr>
        <w:pStyle w:val="Heading1"/>
        <w:keepNext/>
      </w:pPr>
      <w:r>
        <w:t>Competitive Battlecard: ULMS v2.0 vs. Nucleus Software FinnOne Neo</w:t>
      </w:r>
    </w:p>
    <w:p>
      <w:pPr>
        <w:pStyle w:val="Heading2"/>
        <w:keepNext/>
      </w:pPr>
      <w:r>
        <w:t>Head-to-Head Competitive Intelligence, Cross-Border Vulnerabilities &amp; Differentiation Playbook</w:t>
      </w:r>
    </w:p>
    <w:p>
      <w:pPr>
        <w:keepNext/>
        <w:spacing w:before="160" w:after="40"/>
        <w:jc w:val="center"/>
      </w:pPr>
      <w:r>
        <w:drawing>
          <wp:inline xmlns:a="http://schemas.openxmlformats.org/drawingml/2006/main" xmlns:pic="http://schemas.openxmlformats.org/drawingml/2006/picture">
            <wp:extent cx="5688000" cy="3199500"/>
            <wp:docPr id="1" name="Picture 1" descr="Staff authentication interface" title="Figure 1: Sovereign Security — Local Biometric Authentication &amp; Zero Offshore Data Transmission"/>
            <wp:cNvGraphicFramePr>
              <a:graphicFrameLocks noChangeAspect="1"/>
            </wp:cNvGraphicFramePr>
            <a:graphic>
              <a:graphicData uri="http://schemas.openxmlformats.org/drawingml/2006/picture">
                <pic:pic>
                  <pic:nvPicPr>
                    <pic:cNvPr id="0" name="s00_staff_login.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1: Sovereign Security — Local Biometric Authentication &amp; Zero Offshore Data Transmission</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DOC-13-BAT-03</w:t>
      </w:r>
    </w:p>
    <w:p>
      <w:pPr>
        <w:spacing w:after="80" w:line="276" w:lineRule="auto"/>
      </w:pPr>
      <w:r>
        <w:rPr>
          <w:rFonts w:ascii="Calibri" w:hAnsi="Calibri" w:eastAsia="Calibri"/>
          <w:b/>
          <w:i w:val="0"/>
          <w:color w:val="222222"/>
          <w:sz w:val="19"/>
        </w:rPr>
        <w:t>Target Competitor:</w:t>
      </w:r>
      <w:r>
        <w:rPr>
          <w:rFonts w:ascii="Calibri" w:hAnsi="Calibri" w:eastAsia="Calibri"/>
          <w:b w:val="0"/>
          <w:i w:val="0"/>
          <w:color w:val="222222"/>
          <w:sz w:val="19"/>
        </w:rPr>
        <w:t xml:space="preserve"> Nucleus Software Exports Limited (FinnOne Neo Lending Suite)</w:t>
      </w:r>
    </w:p>
    <w:p>
      <w:pPr>
        <w:spacing w:after="80" w:line="276" w:lineRule="auto"/>
      </w:pPr>
      <w:r>
        <w:rPr>
          <w:rFonts w:ascii="Calibri" w:hAnsi="Calibri" w:eastAsia="Calibri"/>
          <w:b/>
          <w:i w:val="0"/>
          <w:color w:val="222222"/>
          <w:sz w:val="19"/>
        </w:rPr>
        <w:t>Author:</w:t>
      </w:r>
      <w:r>
        <w:rPr>
          <w:rFonts w:ascii="Calibri" w:hAnsi="Calibri" w:eastAsia="Calibri"/>
          <w:b w:val="0"/>
          <w:i w:val="0"/>
          <w:color w:val="222222"/>
          <w:sz w:val="19"/>
        </w:rPr>
        <w:t xml:space="preserve"> Lead Competitive Intelligence Architect &amp; Head of Banking Strategy</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Strictly Confidential — Internal Sales Team Only</w:t>
      </w:r>
    </w:p>
    <w:p>
      <w:pPr>
        <w:pStyle w:val="Heading2"/>
        <w:keepNext/>
      </w:pPr>
      <w:r>
        <w:t>1. Executive Competitor Profile</w:t>
      </w:r>
    </w:p>
    <w:p>
      <w:pPr>
        <w:keepNext/>
        <w:spacing w:before="160" w:after="40"/>
        <w:jc w:val="center"/>
      </w:pPr>
      <w:r>
        <w:drawing>
          <wp:inline xmlns:a="http://schemas.openxmlformats.org/drawingml/2006/main" xmlns:pic="http://schemas.openxmlformats.org/drawingml/2006/picture">
            <wp:extent cx="5688000" cy="3199500"/>
            <wp:docPr id="2" name="Picture 2" descr="Delinquency management and recovery dashboard" title="Figure 2: Operations Advantage — Real-Time DPD Bucket Tracking &amp; Local Recovery Rails"/>
            <wp:cNvGraphicFramePr>
              <a:graphicFrameLocks noChangeAspect="1"/>
            </wp:cNvGraphicFramePr>
            <a:graphic>
              <a:graphicData uri="http://schemas.openxmlformats.org/drawingml/2006/picture">
                <pic:pic>
                  <pic:nvPicPr>
                    <pic:cNvPr id="0" name="s04_collections.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Operations Advantage — Real-Time DPD Bucket Tracking &amp; Local Recovery Rails</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213"/>
        <w:gridCol w:w="3213"/>
        <w:gridCol w:w="3213"/>
      </w:tblGrid>
      <w:tr>
        <w:trPr>
          <w:tblHeader w:val="true"/>
          <w:cantSplit/>
        </w:trPr>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Parameter</w:t>
            </w:r>
          </w:p>
        </w:tc>
        <w:tc>
          <w:tcPr>
            <w:tcW w:type="dxa" w:w="3118"/>
            <w:shd w:fill="1E2660"/>
            <w:tcMar>
              <w:top w:w="140" w:type="dxa"/>
              <w:bottom w:w="140" w:type="dxa"/>
              <w:left w:w="180" w:type="dxa"/>
              <w:right w:w="180" w:type="dxa"/>
            </w:tcMar>
          </w:tcPr>
          <w:p>
            <w:pPr>
              <w:spacing w:after="40"/>
            </w:pPr>
            <w:r>
              <w:rPr>
                <w:rFonts w:ascii="Calibri" w:hAnsi="Calibri" w:eastAsia="Calibri"/>
                <w:b/>
                <w:i w:val="0"/>
                <w:color w:val="FFFFFF"/>
                <w:sz w:val="18"/>
              </w:rPr>
              <w:t>Nucleus Software FinnOne Neo</w:t>
            </w:r>
          </w:p>
        </w:tc>
        <w:tc>
          <w:tcPr>
            <w:tcW w:type="dxa" w:w="4535"/>
            <w:shd w:fill="1E2660"/>
            <w:tcMar>
              <w:top w:w="140" w:type="dxa"/>
              <w:bottom w:w="140" w:type="dxa"/>
              <w:left w:w="180" w:type="dxa"/>
              <w:right w:w="180" w:type="dxa"/>
            </w:tcMar>
          </w:tcPr>
          <w:p>
            <w:pPr>
              <w:spacing w:after="40"/>
            </w:pPr>
            <w:r>
              <w:rPr>
                <w:rFonts w:ascii="Calibri" w:hAnsi="Calibri" w:eastAsia="Calibri"/>
                <w:b/>
                <w:i w:val="0"/>
                <w:color w:val="FFFFFF"/>
                <w:sz w:val="18"/>
              </w:rPr>
              <w:t>Unisoft ULMS v2.0</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Headquarters &amp; Origin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Noida, India</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Dhaka, Bangladesh (Smart Technologies Group)</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Bangladesh Footprint</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Several NBFIs &amp; Private Commercial Banks</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150+ Enterprise Deployments, National Banking Footprint</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Primary Architecture</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Proprietary Java EE Monolith, Oracle DB Dependent</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Modular Monolith (Spring Boot 4, PostgreSQL 17, React 19)</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Pricing &amp; Currency</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USD Denominated ($1.2M – $2.5M USD)</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100% BDT Denominated (BDT 4.00 Crore Turnkey)</w:t>
            </w:r>
          </w:p>
        </w:tc>
      </w:tr>
      <w:tr>
        <w:trPr>
          <w:cantSplit/>
        </w:trPr>
        <w:tc>
          <w:tcPr>
            <w:tcW w:type="dxa" w:w="1984"/>
            <w:tcMar>
              <w:top w:w="120" w:type="dxa"/>
              <w:bottom w:w="120" w:type="dxa"/>
              <w:left w:w="160" w:type="dxa"/>
              <w:right w:w="160" w:type="dxa"/>
            </w:tcMar>
          </w:tcPr>
          <w:p>
            <w:pPr>
              <w:spacing w:after="40" w:line="276" w:lineRule="auto"/>
            </w:pPr>
            <w:r>
              <w:rPr>
                <w:rFonts w:ascii="Calibri" w:hAnsi="Calibri" w:eastAsia="Calibri"/>
                <w:b/>
                <w:i w:val="0"/>
                <w:color w:val="222222"/>
                <w:sz w:val="18"/>
              </w:rPr>
              <w:t>Cross-Border Tax Burden</w:t>
            </w:r>
          </w:p>
        </w:tc>
        <w:tc>
          <w:tcPr>
            <w:tcW w:type="dxa" w:w="3118"/>
            <w:tcMar>
              <w:top w:w="120" w:type="dxa"/>
              <w:bottom w:w="120" w:type="dxa"/>
              <w:left w:w="160" w:type="dxa"/>
              <w:right w:w="160" w:type="dxa"/>
            </w:tcMar>
          </w:tcPr>
          <w:p>
            <w:pPr>
              <w:spacing w:after="40" w:line="276" w:lineRule="auto"/>
            </w:pPr>
            <w:r>
              <w:rPr>
                <w:rFonts w:ascii="Calibri" w:hAnsi="Calibri" w:eastAsia="Calibri"/>
                <w:b w:val="0"/>
                <w:i w:val="0"/>
                <w:color w:val="222222"/>
                <w:sz w:val="18"/>
              </w:rPr>
              <w:t>20% Withholding Tax (WHT) + Cross-border Remittance Friction</w:t>
            </w:r>
          </w:p>
        </w:tc>
        <w:tc>
          <w:tcPr>
            <w:tcW w:type="dxa" w:w="4535"/>
            <w:tcMar>
              <w:top w:w="120" w:type="dxa"/>
              <w:bottom w:w="120" w:type="dxa"/>
              <w:left w:w="160" w:type="dxa"/>
              <w:right w:w="160" w:type="dxa"/>
            </w:tcMar>
          </w:tcPr>
          <w:p>
            <w:pPr>
              <w:spacing w:after="40" w:line="276" w:lineRule="auto"/>
            </w:pPr>
            <w:r>
              <w:rPr>
                <w:rFonts w:ascii="Calibri" w:hAnsi="Calibri" w:eastAsia="Calibri"/>
                <w:b w:val="0"/>
                <w:i w:val="0"/>
                <w:color w:val="222222"/>
                <w:sz w:val="18"/>
              </w:rPr>
              <w:t>100% Domestic Billing; 0% Cross-Border Tax Penalties</w:t>
            </w:r>
          </w:p>
        </w:tc>
      </w:tr>
      <w:tr>
        <w:trPr>
          <w:cantSplit/>
        </w:trPr>
        <w:tc>
          <w:tcPr>
            <w:tcW w:type="dxa" w:w="1984"/>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Local Presence</w:t>
            </w:r>
          </w:p>
        </w:tc>
        <w:tc>
          <w:tcPr>
            <w:tcW w:type="dxa" w:w="311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Small liaison office / remote flying engineers</w:t>
            </w:r>
          </w:p>
        </w:tc>
        <w:tc>
          <w:tcPr>
            <w:tcW w:type="dxa" w:w="453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Dedicated 40+ Person Engineering HQ in Begum Rokeya Sarani, Dhaka</w:t>
            </w:r>
          </w:p>
        </w:tc>
      </w:tr>
    </w:tbl>
    <w:p>
      <w:pPr>
        <w:spacing w:after="80"/>
      </w:pPr>
    </w:p>
    <w:p>
      <w:pPr>
        <w:pStyle w:val="Heading2"/>
        <w:keepNext/>
      </w:pPr>
      <w:r>
        <w:t>2. Competitor Strengths (Where FinnOne Neo Excels)</w:t>
      </w:r>
    </w:p>
    <w:p>
      <w:pPr>
        <w:keepNext/>
        <w:spacing w:before="160" w:after="40"/>
        <w:jc w:val="center"/>
      </w:pPr>
      <w:r>
        <w:drawing>
          <wp:inline xmlns:a="http://schemas.openxmlformats.org/drawingml/2006/main" xmlns:pic="http://schemas.openxmlformats.org/drawingml/2006/picture">
            <wp:extent cx="5688000" cy="2342118"/>
            <wp:docPr id="3" name="Picture 3" descr="Topology diagram proving compliance with Bangladesh Bank ICT Security Guidelines" title="Figure 3: Sovereign Hosting — 100% In-Country Sovereign Deployment vs. Offshore Managed Services"/>
            <wp:cNvGraphicFramePr>
              <a:graphicFrameLocks noChangeAspect="1"/>
            </wp:cNvGraphicFramePr>
            <a:graphic>
              <a:graphicData uri="http://schemas.openxmlformats.org/drawingml/2006/picture">
                <pic:pic>
                  <pic:nvPicPr>
                    <pic:cNvPr id="0" name="E6_topology.png"/>
                    <pic:cNvPicPr/>
                  </pic:nvPicPr>
                  <pic:blipFill>
                    <a:blip r:embed="rId13"/>
                    <a:stretch>
                      <a:fillRect/>
                    </a:stretch>
                  </pic:blipFill>
                  <pic:spPr>
                    <a:xfrm>
                      <a:off x="0" y="0"/>
                      <a:ext cx="5688000" cy="2342118"/>
                    </a:xfrm>
                    <a:prstGeom prst="rect"/>
                  </pic:spPr>
                </pic:pic>
              </a:graphicData>
            </a:graphic>
          </wp:inline>
        </w:drawing>
      </w:r>
    </w:p>
    <w:p>
      <w:pPr>
        <w:spacing w:before="40" w:after="160"/>
        <w:jc w:val="center"/>
      </w:pPr>
      <w:r>
        <w:rPr>
          <w:rFonts w:ascii="Calibri" w:hAnsi="Calibri" w:eastAsia="Calibri"/>
          <w:b/>
          <w:i/>
          <w:color w:val="555555"/>
          <w:sz w:val="17"/>
        </w:rPr>
        <w:t>Figure 3: Sovereign Hosting — 100% In-Country Sovereign Deployment vs. Offshore Managed Services</w:t>
      </w:r>
    </w:p>
    <w:p>
      <w:pPr>
        <w:pStyle w:val="ListBullet"/>
        <w:spacing w:after="40" w:line="276" w:lineRule="auto"/>
      </w:pPr>
      <w:r>
        <w:rPr>
          <w:rFonts w:ascii="Calibri" w:hAnsi="Calibri" w:eastAsia="Calibri"/>
          <w:b/>
          <w:i w:val="0"/>
          <w:color w:val="222222"/>
          <w:sz w:val="19"/>
        </w:rPr>
        <w:t>Established Retail Lending Reputation:</w:t>
      </w:r>
      <w:r>
        <w:rPr>
          <w:rFonts w:ascii="Calibri" w:hAnsi="Calibri" w:eastAsia="Calibri"/>
          <w:b w:val="0"/>
          <w:i w:val="0"/>
          <w:color w:val="222222"/>
          <w:sz w:val="19"/>
        </w:rPr>
        <w:t xml:space="preserve"> Extensive adoption across Indian non-banking financial companies (NBFCs) and retail banks.</w:t>
      </w:r>
    </w:p>
    <w:p>
      <w:pPr>
        <w:pStyle w:val="ListBullet"/>
        <w:spacing w:after="40" w:line="276" w:lineRule="auto"/>
      </w:pPr>
      <w:r>
        <w:rPr>
          <w:rFonts w:ascii="Calibri" w:hAnsi="Calibri" w:eastAsia="Calibri"/>
          <w:b/>
          <w:i w:val="0"/>
          <w:color w:val="222222"/>
          <w:sz w:val="19"/>
        </w:rPr>
        <w:t>Granular LOS Features:</w:t>
      </w:r>
      <w:r>
        <w:rPr>
          <w:rFonts w:ascii="Calibri" w:hAnsi="Calibri" w:eastAsia="Calibri"/>
          <w:b w:val="0"/>
          <w:i w:val="0"/>
          <w:color w:val="222222"/>
          <w:sz w:val="19"/>
        </w:rPr>
        <w:t xml:space="preserve"> Deep consumer loan origination rule engines for personal, auto, and home financing.</w:t>
      </w:r>
    </w:p>
    <w:p>
      <w:pPr>
        <w:pStyle w:val="ListBullet"/>
        <w:spacing w:after="40" w:line="276" w:lineRule="auto"/>
      </w:pPr>
      <w:r>
        <w:rPr>
          <w:rFonts w:ascii="Calibri" w:hAnsi="Calibri" w:eastAsia="Calibri"/>
          <w:b/>
          <w:i w:val="0"/>
          <w:color w:val="222222"/>
          <w:sz w:val="19"/>
        </w:rPr>
        <w:t>Regional Brand Equity:</w:t>
      </w:r>
      <w:r>
        <w:rPr>
          <w:rFonts w:ascii="Calibri" w:hAnsi="Calibri" w:eastAsia="Calibri"/>
          <w:b w:val="0"/>
          <w:i w:val="0"/>
          <w:color w:val="222222"/>
          <w:sz w:val="19"/>
        </w:rPr>
        <w:t xml:space="preserve"> Recognized across South Asia and the Middle East for specialized retail loan servicing.</w:t>
      </w:r>
    </w:p>
    <w:p>
      <w:pPr>
        <w:pStyle w:val="Heading2"/>
        <w:keepNext/>
      </w:pPr>
      <w:r>
        <w:t>3. Competitor Critical Vulnerabilities (Where ULMS Wins)</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System Architecture Specification (Mermaid DSL):  [Diagram Topology: flowchart TD]</w:t>
              <w:br/>
              <w:t>flowchart TD</w:t>
              <w:br/>
              <w:t xml:space="preserve">    subgraph FinnOne ["FinnOne Neo Vulnerabilities"]</w:t>
              <w:br/>
              <w:t xml:space="preserve">        F1["Cross-Border Remittance &amp; 20% WHT Friction"]</w:t>
              <w:br/>
              <w:t xml:space="preserve">        F2["Offshore Support Delays &amp; India Travel Bureaucracy"]</w:t>
              <w:br/>
              <w:t xml:space="preserve">        F3["Proprietary Oracle DB Overhead &amp; License Multipliers"]</w:t>
              <w:br/>
              <w:t xml:space="preserve">        F4["Retrofitted Bangladesh Bank BRPD 15 Regulatory Rules"]        F5["Thin Bangladesh Reference Base vs Local 40+ HQ"]    end</w:t>
            </w:r>
            <w:r>
              <w:rPr>
                <w:rFonts w:ascii="Calibri" w:hAnsi="Calibri" w:eastAsia="Calibri"/>
                <w:b w:val="0"/>
                <w:i w:val="0"/>
                <w:color w:val="222222"/>
                <w:sz w:val="18"/>
              </w:rPr>
            </w:r>
          </w:p>
        </w:tc>
      </w:tr>
    </w:tbl>
    <w:p>
      <w:pPr>
        <w:spacing w:after="80"/>
      </w:pPr>
    </w:p>
    <w:p>
      <w:pPr>
        <w:pStyle w:val="Heading3"/>
        <w:keepNext/>
      </w:pPr>
      <w:r>
        <w:t>1. The Cross-Border Payment and Tax Penalty Trap:</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Contracting with Nucleus Software requires cross-border remittances to India. The National Board of Revenue (NBR) enforces a mandatory </w:t>
      </w:r>
      <w:r>
        <w:rPr>
          <w:rFonts w:ascii="Calibri" w:hAnsi="Calibri" w:eastAsia="Calibri"/>
          <w:b/>
          <w:i w:val="0"/>
          <w:color w:val="222222"/>
          <w:sz w:val="19"/>
        </w:rPr>
        <w:t>20% Advance Income Tax (AIT) withholding</w:t>
      </w:r>
      <w:r>
        <w:rPr>
          <w:rFonts w:ascii="Calibri" w:hAnsi="Calibri" w:eastAsia="Calibri"/>
          <w:b w:val="0"/>
          <w:i w:val="0"/>
          <w:color w:val="222222"/>
          <w:sz w:val="19"/>
        </w:rPr>
        <w:t xml:space="preserve"> on foreign software royalties, plus central bank approvals for outward foreign exchange remittances.</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"With FinnOne, your bank pays a 20% tax surcharge on every invoice and navigates central bank forex red tape. ULMS is 100% domestically billed in BDT by Unisoft Systems Limited (backed by Smart Technologies BD Ltd), with zero remittance delays and full NBR tax credits."</w:t>
      </w:r>
    </w:p>
    <w:p>
      <w:pPr>
        <w:pStyle w:val="Heading3"/>
        <w:keepNext/>
      </w:pPr>
      <w:r>
        <w:t>2. The Offshore Support Bottleneck:</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Nucleus relies heavily on offshore development teams in Noida, India. When critical production issues arise or urgent custom patches are needed for Bangladesh Bank circulars, banks face visa delays, remote communication bottlenecks, and expensive fly-in consulting fees.</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"When an auditor from Bangladesh Bank is sitting in your boardroom demanding an explanation, Unisoft's senior software architects can be physically on-site in your Motijheel or Gulshan datacenter within 30 minutes (metro) / 2 hours (national)."</w:t>
      </w:r>
    </w:p>
    <w:p>
      <w:pPr>
        <w:pStyle w:val="Heading3"/>
        <w:keepNext/>
      </w:pPr>
      <w:r>
        <w:t>3. Costly Infrastructure Sizing (Oracle Lock-In):</w:t>
      </w:r>
    </w:p>
    <w:p>
      <w:pPr>
        <w:pStyle w:val="ListBullet"/>
        <w:spacing w:after="40" w:line="276" w:lineRule="auto"/>
      </w:pPr>
      <w:r>
        <w:rPr>
          <w:rFonts w:ascii="Calibri" w:hAnsi="Calibri" w:eastAsia="Calibri"/>
          <w:b/>
          <w:i w:val="0"/>
          <w:color w:val="222222"/>
          <w:sz w:val="19"/>
        </w:rPr>
        <w:t>The Reality:</w:t>
      </w:r>
      <w:r>
        <w:rPr>
          <w:rFonts w:ascii="Calibri" w:hAnsi="Calibri" w:eastAsia="Calibri"/>
          <w:b w:val="0"/>
          <w:i w:val="0"/>
          <w:color w:val="222222"/>
          <w:sz w:val="19"/>
        </w:rPr>
        <w:t xml:space="preserve"> FinnOne Neo requires expensive Oracle Database Enterprise Edition licenses and high-spec proprietary application servers, adding millions of Taka in mandatory third-party software overhead.</w:t>
      </w:r>
    </w:p>
    <w:p>
      <w:pPr>
        <w:pStyle w:val="ListBullet"/>
        <w:spacing w:after="40" w:line="276" w:lineRule="auto"/>
      </w:pPr>
      <w:r>
        <w:rPr>
          <w:rFonts w:ascii="Calibri" w:hAnsi="Calibri" w:eastAsia="Calibri"/>
          <w:b/>
          <w:i w:val="0"/>
          <w:color w:val="222222"/>
          <w:sz w:val="19"/>
        </w:rPr>
        <w:t>The Pitch:</w:t>
      </w:r>
      <w:r>
        <w:rPr>
          <w:rFonts w:ascii="Calibri" w:hAnsi="Calibri" w:eastAsia="Calibri"/>
          <w:b w:val="0"/>
          <w:i w:val="0"/>
          <w:color w:val="222222"/>
          <w:sz w:val="19"/>
        </w:rPr>
        <w:t xml:space="preserve"> </w:t>
      </w:r>
      <w:r>
        <w:rPr>
          <w:rFonts w:ascii="Calibri" w:hAnsi="Calibri" w:eastAsia="Calibri"/>
          <w:b w:val="0"/>
          <w:i/>
          <w:color w:val="222222"/>
          <w:sz w:val="19"/>
        </w:rPr>
        <w:t>"ULMS v2.0 runs on high-performance PostgreSQL 17, cutting your relational database licensing fees to zero while delivering sub-second response times on commodity server hardware."</w:t>
      </w:r>
    </w:p>
    <w:p>
      <w:pPr>
        <w:pStyle w:val="Heading2"/>
        <w:keepNext/>
      </w:pPr>
      <w:r>
        <w:t>4. Head-to-Head Feature Comparison Matrix</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Functional Dimension</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FinnOne Neo</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Unisoft ULMS v2.0</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Win Evaluation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Contract Currency &amp; Tax</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USD ($1.5M+) + 20% WHT</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100% BDT (BDT 4.0 Cr) + NBR Tax Credit</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BRPD 15/2024 7-Stage Classification</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Custom Adaptation (Scripted)</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Native Deterministic Core Engine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Bangladesh Bank CIB Online Gateway</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Custom Integration Layer</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Native Automated REST Parser</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Election Commission e-KYC Verification</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Third-Party Middleware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Integrated Face Match &amp; NID OCR</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Database Licensing Cost</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Requires Oracle DB ($150k+ extra)</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Zero Cost: PostgreSQL 17</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On-Site SLA in Dhaka</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Remote or 48-72h Flight Notice</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Guaranteed 30-Minute Metro / 2-Hour National On-Site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Implementation Timeline</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9 to 14 Months</w:t>
            </w:r>
          </w:p>
        </w:tc>
        <w:tc>
          <w:tcPr>
            <w:tcW w:type="dxa" w:w="2438"/>
            <w:tcMar>
              <w:top w:w="120" w:type="dxa"/>
              <w:bottom w:w="120" w:type="dxa"/>
              <w:left w:w="160" w:type="dxa"/>
              <w:right w:w="160" w:type="dxa"/>
            </w:tcMar>
          </w:tcPr>
          <w:p>
            <w:pPr>
              <w:spacing w:after="40" w:line="276" w:lineRule="auto"/>
            </w:pPr>
            <w:r>
              <w:rPr>
                <w:rFonts w:ascii="Calibri" w:hAnsi="Calibri" w:eastAsia="Calibri"/>
                <w:b/>
                <w:i w:val="0"/>
                <w:color w:val="222222"/>
                <w:sz w:val="18"/>
              </w:rPr>
              <w:t>12 Weeks Turnkey Pilot</w:t>
            </w:r>
          </w:p>
        </w:tc>
        <w:tc>
          <w:tcPr>
            <w:tcW w:type="dxa" w:w="3685"/>
            <w:tcMar>
              <w:top w:w="120" w:type="dxa"/>
              <w:bottom w:w="120" w:type="dxa"/>
              <w:left w:w="160" w:type="dxa"/>
              <w:right w:w="160" w:type="dxa"/>
            </w:tcMar>
          </w:tcPr>
          <w:p>
            <w:pPr>
              <w:spacing w:after="40" w:line="276" w:lineRule="auto"/>
            </w:pPr>
            <w:r>
              <w:rPr>
                <w:rFonts w:ascii="Calibri" w:hAnsi="Calibri" w:eastAsia="Calibri"/>
                <w:b/>
                <w:i w:val="0"/>
                <w:color w:val="222222"/>
                <w:sz w:val="18"/>
              </w:rPr>
              <w:t>ULMS Decisive Win</w:t>
            </w:r>
          </w:p>
        </w:tc>
      </w:tr>
    </w:tbl>
    <w:p>
      <w:pPr>
        <w:spacing w:after="80"/>
      </w:pPr>
    </w:p>
    <w:p>
      <w:pPr>
        <w:pStyle w:val="Heading2"/>
        <w:keepNext/>
      </w:pPr>
      <w:r>
        <w:t>5. Trap-Setting RFP Questions to Disqualify FinnOne Neo</w:t>
      </w:r>
    </w:p>
    <w:p>
      <w:pPr>
        <w:pStyle w:val="ListNumber"/>
        <w:spacing w:after="40" w:line="276" w:lineRule="auto"/>
      </w:pPr>
      <w:r>
        <w:rPr>
          <w:rFonts w:ascii="Calibri" w:hAnsi="Calibri" w:eastAsia="Calibri"/>
          <w:b/>
          <w:i w:val="0"/>
          <w:color w:val="222222"/>
          <w:sz w:val="19"/>
        </w:rPr>
        <w:t>For the Procurement &amp; Finance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"Is the bidding vendor an incorporated legal entity in Bangladesh capable of issuing VAT invoices directly under NBR SRO regulations, or does the contract require cross-border outward foreign exchange remittance subject to withholding tax?"</w:t>
      </w:r>
    </w:p>
    <w:p>
      <w:pPr>
        <w:pStyle w:val="ListNumber"/>
        <w:spacing w:after="40" w:line="276" w:lineRule="auto"/>
      </w:pPr>
      <w:r>
        <w:rPr>
          <w:rFonts w:ascii="Calibri" w:hAnsi="Calibri" w:eastAsia="Calibri"/>
          <w:b/>
          <w:i w:val="0"/>
          <w:color w:val="222222"/>
          <w:sz w:val="19"/>
        </w:rPr>
        <w:t>For the ICT Architecture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"Does the proposed solution mandate proprietary commercial RDBMS licenses (such as Oracle Enterprise Edition) with core-based pricing, or can it operate natively on enterprise open-source PostgreSQL 17?"</w:t>
      </w:r>
    </w:p>
    <w:p>
      <w:pPr>
        <w:pStyle w:val="ListNumber"/>
        <w:spacing w:after="40" w:line="276" w:lineRule="auto"/>
      </w:pPr>
      <w:r>
        <w:rPr>
          <w:rFonts w:ascii="Calibri" w:hAnsi="Calibri" w:eastAsia="Calibri"/>
          <w:b/>
          <w:i w:val="0"/>
          <w:color w:val="222222"/>
          <w:sz w:val="19"/>
        </w:rPr>
        <w:t>For the Operations &amp; Recovery Committee:</w:t>
      </w:r>
    </w:p>
    <w:p>
      <w:pPr>
        <w:spacing w:after="80" w:line="276" w:lineRule="auto"/>
      </w:pPr>
      <w:r>
        <w:rPr>
          <w:rFonts w:ascii="Calibri" w:hAnsi="Calibri" w:eastAsia="Calibri"/>
          <w:b w:val="0"/>
          <w:i w:val="0"/>
          <w:color w:val="222222"/>
          <w:sz w:val="19"/>
        </w:rPr>
        <w:t xml:space="preserve">&gt; </w:t>
      </w:r>
      <w:r>
        <w:rPr>
          <w:rFonts w:ascii="Calibri" w:hAnsi="Calibri" w:eastAsia="Calibri"/>
          <w:b w:val="0"/>
          <w:i/>
          <w:color w:val="222222"/>
          <w:sz w:val="19"/>
        </w:rPr>
        <w:t>"Does the field collection module feature native offline caching with automatic GPS geotagging and SMS dispatch over local telecom aggregators (Grameenphone, Robi, Banglalink) without third-party global SMS gateway costs?"</w:t>
      </w:r>
    </w:p>
    <w:p>
      <w:pPr>
        <w:spacing w:after="80" w:line="276" w:lineRule="auto"/>
      </w:pPr>
      <w:r>
        <w:rPr>
          <w:rFonts w:ascii="Calibri" w:hAnsi="Calibri" w:eastAsia="Calibri"/>
          <w:b w:val="0"/>
          <w:i/>
          <w:color w:val="222222"/>
          <w:sz w:val="19"/>
        </w:rPr>
        <w:t>Unisoft Systems Limited — Competitive Intelligence &amp; Banking Sales Operations.</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Competitive Battlecard - ULMS v2.0 vs. Nucleu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Battlecard - ULMS v2.0 vs. Nucleus Software FinnOne Neo</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