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Regulatory Whitepaper: Automated Compliance with BRPD Circular 15/2024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DOC-35-REG-01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DOC-35-REG-01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Authoritative Technical &amp; Regulatory Whitepaper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[cro, head_of_credit, compliance_officer, external_auditor]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The 7-Stage Loan Classification &amp; Statutory Provisioning Engine in ULMS v2.0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Automated loan classification screen showing STD-0 to B/L stages" title="Figure 1: Production UI — Live 7-Stage BRPD 15/2024 Classification &amp; Provisioning Eng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Live 7-Stage BRPD 15/2024 Classification &amp; Provisioning Engine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DOC-35-REG-01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Statutory Reference: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Bangladesh Bank BRPD Circular No. 15 dated November 27, 2024 (and related directives)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Head of Regulatory Compliance &amp; Senior Credit Risk Architect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Authoritative Technical &amp; Regulatory Whitepaper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Executive Summary &amp; Regulatory Context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74447"/>
            <wp:docPr id="2" name="Picture 2" descr="Regulatory taxonomy table for general and specific provisions" title="Figure 2: Statutory Matrix — Bangladesh Bank Granular Provisioning Percentages &amp; DPD Ban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brp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74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Statutory Matrix — Bangladesh Bank Granular Provisioning Percentages &amp; DPD Bands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On November 27, 2024, the Banking Regulation and Policy Department (BRPD) of </w:t>
      </w:r>
      <w:r>
        <w:rPr>
          <w:rFonts w:ascii="Calibri" w:hAnsi="Calibri" w:eastAsia="Calibri"/>
          <w:b/>
          <w:i w:val="0"/>
          <w:color w:val="222222"/>
          <w:sz w:val="19"/>
        </w:rPr>
        <w:t>Bangladesh Bank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issued </w:t>
      </w:r>
      <w:r>
        <w:rPr>
          <w:rFonts w:ascii="Calibri" w:hAnsi="Calibri" w:eastAsia="Calibri"/>
          <w:b/>
          <w:i w:val="0"/>
          <w:color w:val="222222"/>
          <w:sz w:val="19"/>
        </w:rPr>
        <w:t>Circular No. 15/2024</w:t>
      </w:r>
      <w:r>
        <w:rPr>
          <w:rFonts w:ascii="Calibri" w:hAnsi="Calibri" w:eastAsia="Calibri"/>
          <w:b w:val="0"/>
          <w:i w:val="0"/>
          <w:color w:val="222222"/>
          <w:sz w:val="19"/>
        </w:rPr>
        <w:t>, marking the most significant overhaul of credit asset classification and provisioning rules in Bangladesh in over a decade.</w:t>
      </w:r>
    </w:p>
    <w:p>
      <w:pPr>
        <w:pStyle w:val="Heading3"/>
        <w:keepNext/>
      </w:pPr>
      <w:r>
        <w:t>Statutory Implementation Timeline: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Circular Issuance Date: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November 27, 2024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Statutory Effective Date: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/>
          <w:i w:val="0"/>
          <w:color w:val="222222"/>
          <w:sz w:val="19"/>
        </w:rPr>
        <w:t>April 1, 2025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(Mandatory transition from historical 4-stage to 7-stage classification)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Comprehensive CL Reporting Date: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/>
          <w:i w:val="0"/>
          <w:color w:val="222222"/>
          <w:sz w:val="19"/>
        </w:rPr>
        <w:t>September 30, 2025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(Quarterly CL-1 to CL-5 returns submitted to Bangladesh Bank under the full 7-stage taxonomy)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Mandatory IFRS-9 ECL Convergence: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/>
          <w:i w:val="0"/>
          <w:color w:val="222222"/>
          <w:sz w:val="19"/>
        </w:rPr>
        <w:t>December 31, 2027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Replacing the historical 4-stage framework, BRPD 15/2024 established a strict </w:t>
      </w:r>
      <w:r>
        <w:rPr>
          <w:rFonts w:ascii="Calibri" w:hAnsi="Calibri" w:eastAsia="Calibri"/>
          <w:b/>
          <w:i w:val="0"/>
          <w:color w:val="222222"/>
          <w:sz w:val="19"/>
        </w:rPr>
        <w:t>7-stage granular classification regime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aimed at aligning Bangladesh’s banking sector with international Basel III norms and paving the way for mandatory </w:t>
      </w:r>
      <w:r>
        <w:rPr>
          <w:rFonts w:ascii="Calibri" w:hAnsi="Calibri" w:eastAsia="Calibri"/>
          <w:b/>
          <w:i w:val="0"/>
          <w:color w:val="222222"/>
          <w:sz w:val="19"/>
        </w:rPr>
        <w:t>IFRS-9 Expected Credit Loss (ECL)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enforcement by December 31, 2027.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E266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System Architecture Specification (Mermaid DSL):  [Diagram Topology: flowchart LR]</w:t>
              <w:br/>
              <w:t>flowchart LR</w:t>
              <w:br/>
              <w:t xml:space="preserve">    subgraph Performing ["Performing Assets (General Provision)"]</w:t>
              <w:br/>
              <w:t xml:space="preserve">        S0["1. STD-0: Standard Current&lt;br/&gt;0 DPD · 1.0% GP"]</w:t>
              <w:br/>
              <w:t xml:space="preserve">        S1["2. STD-1: Standard Watch&lt;br/&gt;1–30 DPD · 1.0% GP"]</w:t>
              <w:br/>
              <w:t xml:space="preserve">        S2["3. STD-2: Standard Caution&lt;br/&gt;31–60 DPD · 1.0% GP"]</w:t>
              <w:br/>
              <w:t xml:space="preserve">        SMA["4. SMA: Special Mention&lt;br/&gt;61–90 DPD · 5.0% GP"]        SS["5. SS: Substandard&lt;br/&gt;91-180 DPD - 20% GP"]        DF["6. DF: Doubtful&lt;br/&gt;181-365 DPD - 50% GP"]        BL["7. B-L: Bad-Loss&lt;br/&gt;over 365 DPD - 100% GP"]    end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commercial banks, manually tracking Days Past Due (DPD) across thousands of accounts using spreadsheets creates acute operational risks: misclassification fines, delayed reporting, and balance-sheet restatement orders.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ULMS v2.0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solves this challenge through an embedded, automated </w:t>
      </w:r>
      <w:r>
        <w:rPr>
          <w:rFonts w:ascii="Calibri" w:hAnsi="Calibri" w:eastAsia="Calibri"/>
          <w:b/>
          <w:i w:val="0"/>
          <w:color w:val="222222"/>
          <w:sz w:val="19"/>
        </w:rPr>
        <w:t>BRPD 15/2024 Compliance Engine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that deterministically calculates DPD, nets central bank eligible collateral, determines exact general and specific provisions, and exports standardized CL returns nightly.</w:t>
      </w:r>
    </w:p>
    <w:p>
      <w:pPr>
        <w:pStyle w:val="Heading2"/>
        <w:keepNext/>
      </w:pPr>
      <w:r>
        <w:t>2. Exhaustive 7-Stage Classification Taxonomy &amp; Asset Categories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Delinquency bucket ledger screen" title="Figure 3: Delinquency Ledger — DPD Aging Analysis &amp; Collateral Netting Trace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colle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Delinquency Ledger — DPD Aging Analysis &amp; Collateral Netting Traceability</w:t>
      </w:r>
    </w:p>
    <w:p>
      <w:pPr>
        <w:pStyle w:val="Heading3"/>
        <w:keepNext/>
      </w:pPr>
      <w:r>
        <w:t>2.1 The Four Regulated Credit Asset Categories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BRPD Circular 15/2024 establishes distinct classification criteria across four primary loan categories: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Continuous Loans (Cash Credit, Overdrafts):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Revolving credit facilities with sanctioned validity limits. DPD is calculated from limit expiry date or when drawings exceed limit continuously for 30+ days.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Demand Loans (PAD, FBP, LIM, Payment Against Documents):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Short-term trade finance loans payable on demand. DPD is calculated from maturity or creation date if unretired.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Fixed Term Loans (Retail EMI, SME Term, Industrial Term, Lease Finance):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Installment-based term credit. DPD is tracked against the oldest overdue installment.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Short-Term Agricultural Credit &amp; Micro-Credit: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Agricultural crop loans and micro-credit. Classified as SMA if overdue 30–60 days, SS if 61–180 days, DF if 181–365 days, and B/L if past due exceeding 12 months after maturity.</w:t>
      </w:r>
    </w:p>
    <w:p>
      <w:pPr>
        <w:pStyle w:val="Heading3"/>
        <w:keepNext/>
      </w:pPr>
      <w:r>
        <w:t>2.2 7-Stage Classification Matrix &amp; Statutory Provision Rates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Under BRPD Circular 15/2024, credit facilities are classified based on objective Days Past Due (DPD) thresholds, qualitative judgment, and rescheduling history: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Stage Code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Classification Name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Days Past Due (DPD) Range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Provision Category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Base Statutory Provision Rate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Commercial &amp; Retail Loans</w:t>
            </w:r>
          </w:p>
        </w:tc>
        <w:tc>
          <w:tcPr>
            <w:tcW w:type="dxa" w:w="137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SME / Agri Credit Loans</w:t>
            </w:r>
          </w:p>
        </w:tc>
      </w:tr>
      <w:tr>
        <w:trPr>
          <w:cantSplit/>
        </w:trPr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STD-0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Standard (Current)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Exactly 0 Days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General Provision (GP)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0.25% – 1.0%</w:t>
            </w:r>
          </w:p>
        </w:tc>
      </w:tr>
      <w:tr>
        <w:trPr>
          <w:cantSplit/>
        </w:trPr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STD-1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Standard (Watch)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 to 30 Days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General Provision (GP)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0.25% – 1.0%</w:t>
            </w:r>
          </w:p>
        </w:tc>
      </w:tr>
      <w:tr>
        <w:trPr>
          <w:cantSplit/>
        </w:trPr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STD-2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Standard (Caution)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31 to 60 Days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General Provision (GP)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0.25% – 1.0%</w:t>
            </w:r>
          </w:p>
        </w:tc>
      </w:tr>
      <w:tr>
        <w:trPr>
          <w:cantSplit/>
        </w:trPr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SMA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Special Mention Account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61 to 90 Days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General Provision (GP)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5.0%</w:t>
            </w:r>
          </w:p>
        </w:tc>
      </w:tr>
      <w:tr>
        <w:trPr>
          <w:cantSplit/>
        </w:trPr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SS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Sub-Standard (NPL)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91 to 180 Days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Specific Provision (SP)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DF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Doubtful (NPL)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181 to 365 Days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Specific Provision (SP)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50.0%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50.0%</w:t>
            </w:r>
          </w:p>
        </w:tc>
        <w:tc>
          <w:tcPr>
            <w:tcW w:type="dxa" w:w="1377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50.0%</w:t>
            </w:r>
          </w:p>
        </w:tc>
      </w:tr>
      <w:tr>
        <w:trPr>
          <w:cantSplit/>
        </w:trPr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B/L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Bad / Loss (NPL)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Greater than 365 Days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Specific Provision (SP)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100.0%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100.0%</w:t>
            </w:r>
          </w:p>
        </w:tc>
        <w:tc>
          <w:tcPr>
            <w:tcW w:type="dxa" w:w="137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100.0%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Key Regulatory Enforcements: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Continuous Revolving Credit &amp; Overdrafts: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DPD is measured from the date of limit expiration or when drawings exceed the sanctioned limit continuously for 30+ days.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Fixed Term / Installment Credit: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DPD is measured from the due date of any unpaid monthly or quarterly installment.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Cross-Default Contagion: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If an uncollateralized borrower is classified as Sub-Standard or worse on one facility, ULMS automatically tags all other facilities of the same borrower across the bank for downgrade review.</w:t>
      </w:r>
    </w:p>
    <w:p>
      <w:pPr>
        <w:pStyle w:val="Heading2"/>
        <w:keepNext/>
      </w:pPr>
      <w:r>
        <w:t>3. Mathematical Collateral Netting &amp; Provisioning Algorithm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08282"/>
            <wp:docPr id="4" name="Picture 4" descr="Statutory delegation ladder for loan rescheduling approvals" title="Figure 4: Sanction Governance — Rescheduling &amp; Restructuring Delegation Authority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4: Sanction Governance — Rescheduling &amp; Restructuring Delegation Authority Matrix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The calculation of specific provisions under central bank guidelines permits the deduction of </w:t>
      </w:r>
      <w:r>
        <w:rPr>
          <w:rFonts w:ascii="Calibri" w:hAnsi="Calibri" w:eastAsia="Calibri"/>
          <w:b/>
          <w:i w:val="0"/>
          <w:color w:val="222222"/>
          <w:sz w:val="19"/>
        </w:rPr>
        <w:t>Eligible Security / Collateral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before applying the statutory provisioning percentage.</w:t>
      </w:r>
    </w:p>
    <w:p>
      <w:pPr>
        <w:pStyle w:val="Heading3"/>
        <w:keepNext/>
      </w:pPr>
      <w:r>
        <w:t>3.1 Central Bank Eligible Collateral Categories &amp; Haircuts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Per Bangladesh Bank regulations, only strictly defined collateral can be deducted against outstanding exposure: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Cash Collateral &amp; FDR Liens: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100% of face value (zero haircut).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Government Treasury Bonds / Sanchayapatra: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100% of surrender/face value.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Immovable Landed Property / Registered Mortgages: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Maximum of 80% of forced sale value determined by an accredited surveyor within the last 3 years.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Hypothecated Stock &amp; Raw Materials: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Maximum of 50% of audited valuation, subject to strict inspection recency (&lt;90 days).</w:t>
      </w:r>
    </w:p>
    <w:p>
      <w:pPr>
        <w:pStyle w:val="Heading3"/>
        <w:keepNext/>
      </w:pPr>
      <w:r>
        <w:t>3.2 Formal Mathematical Provisioning Formula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any credit facility $i$ with Outstanding Exposure $E_i$ and Central Bank Eligible Collateral $C_i$: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E2660"/>
          <w:sz w:val="20"/>
        </w:rPr>
        <w:t>Case A: Performing Loans (STD-0, STD-1, STD-2, SMA)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General provisions are computed directly on the gross outstanding exposure without collateral deduction: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$$\text{GP}_i = E_i \times R_{\text{GP}}$$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Where $R_{\text{GP}}$ is the applicable general provision rate (1.0% for Standard; 5.0% for SMA).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E2660"/>
          <w:sz w:val="20"/>
        </w:rPr>
        <w:t>Case B: Non-Performing Loans (SS, DF, B/L)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Specific provisions are computed on the </w:t>
      </w:r>
      <w:r>
        <w:rPr>
          <w:rFonts w:ascii="Calibri" w:hAnsi="Calibri" w:eastAsia="Calibri"/>
          <w:b/>
          <w:i w:val="0"/>
          <w:color w:val="222222"/>
          <w:sz w:val="19"/>
        </w:rPr>
        <w:t>Net Base for Provision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after subtracting eligible collateral: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$$\text{Base for Provision } B_i = \max\left(0,\, E_i - \text{Interest Suspense}_i - C_i^{\text{eligible}}\right)$$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$$\text{Specific Provision } \text{SP}_i = B_i \times R_{\text{SP}}$$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Where $R_{\text{SP}}$ is the statutory specific provision rate (20% for SS, 50% for DF, 100% for B/L).</w:t>
      </w:r>
    </w:p>
    <w:p>
      <w:pPr>
        <w:pStyle w:val="Heading3"/>
        <w:keepNext/>
      </w:pPr>
      <w:r>
        <w:t>3.3 Interest Suspense Accounting Treatment (BRPD Mandate)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Per Bangladesh Bank regulations, when any facility degrades to Sub-Standard (SS), Doubtful (DF), or Bad/Loss (B/L):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Accrual Reversal: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All unrealized interest accrued during the current accounting period must be immediately reversed from the Profit &amp; Loss statement: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Debit: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Interest Income Account (P&amp;L)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Credit: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Interest Suspense Account (Balance Sheet Liability / Contra-Asset)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Ongoing Accrual Treatment: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Any subsequent interest charged on the classified account cannot be recognized as bank earnings: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Debit: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Loan Outstanding / Advance Account (Asset)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Credit: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Interest Suspense Account (Balance Sheet)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Cash Realization Rule: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Interest in suspense is recognized as income if and only if actual cash collection occurs: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Debit: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Cash / Clearing Account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Credit: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Loan Outstanding / Advance Account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Simultaneous Reversal: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Debit Interest Suspense Account / Credit Interest Income Account (P&amp;L)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ULMS v2.0 automates these journal vouchers via the core </w:t>
      </w:r>
      <w:r>
        <w:rPr>
          <w:rFonts w:ascii="Consolas" w:hAnsi="Consolas" w:eastAsia="Consolas"/>
          <w:b w:val="0"/>
          <w:i w:val="0"/>
          <w:color w:val="8B0000"/>
          <w:sz w:val="18"/>
        </w:rPr>
        <w:t>BrpdClassifier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service, generating standardized ISO 20022 / CBS GL staging feeds nightly.</w:t>
      </w:r>
    </w:p>
    <w:p>
      <w:pPr>
        <w:pStyle w:val="Heading2"/>
        <w:keepNext/>
      </w:pPr>
      <w:r>
        <w:t>4. End-of-Day (EOD) Automated Classification Engine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ULMS v2.0 executes an automated classification batch every business day at </w:t>
      </w:r>
      <w:r>
        <w:rPr>
          <w:rFonts w:ascii="Calibri" w:hAnsi="Calibri" w:eastAsia="Calibri"/>
          <w:b/>
          <w:i w:val="0"/>
          <w:color w:val="222222"/>
          <w:sz w:val="19"/>
        </w:rPr>
        <w:t>23:59:00</w:t>
      </w:r>
      <w:r>
        <w:rPr>
          <w:rFonts w:ascii="Calibri" w:hAnsi="Calibri" w:eastAsia="Calibri"/>
          <w:b w:val="0"/>
          <w:i w:val="0"/>
          <w:color w:val="222222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E266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System Architecture Specification (Mermaid DSL):  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[Diagram Topology: sequenceDiagram]</w:t>
              <w:br/>
              <w:t>sequenceDiagram</w:t>
              <w:br/>
              <w:t xml:space="preserve">    autonumber</w:t>
              <w:br/>
              <w:t xml:space="preserve">    participant Sched as Spring Scheduler</w:t>
              <w:br/>
              <w:t xml:space="preserve">    participant Engine as BrpdClassifier Service</w:t>
              <w:br/>
              <w:t xml:space="preserve">    participant DB as PostgreSQL 17 Database</w:t>
              <w:br/>
              <w:t xml:space="preserve">    participant GL as Core Banking / GL Staging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Zero-Human-Error Guarantee: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The batch operates autonomously without manual spreadsheet intervention.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Any manual classification override by a senior credit committee requires mandatory two-factor authorization, justification text, and is logged in the permanent audit trail.</w:t>
      </w:r>
    </w:p>
    <w:p>
      <w:pPr>
        <w:pStyle w:val="Heading2"/>
        <w:keepNext/>
      </w:pPr>
      <w:r>
        <w:t>5. Rescheduling, Restructuring &amp; Concession Tracking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Under BRPD guidelines, rescheduled loans cannot be immediately upgraded to Standard Current (STD-0). ULMS enforces central bank restructuring rules: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Mandatory Down Payment Verification: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system requires proof of down payment (typically 2.5% to 7.5% depending on whether it is a 1st, 2nd, or 3rd reschedule) before recalculating the amortization schedule.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Six-Month Seasoning Period: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Rescheduled accounts remain in a probationary status for at least 6 months with flawless repayments before they can qualify for an automated upgrade.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Reschedule Counter Tracking: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system maintains an indelible counter of how many times a facility has been rescheduled across the borrower's lifetime.</w:t>
      </w:r>
    </w:p>
    <w:p>
      <w:pPr>
        <w:pStyle w:val="Heading2"/>
        <w:keepNext/>
      </w:pPr>
      <w:r>
        <w:t>6. Automated Regulatory Returns (CL-1 to CL-5)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v2.0 natively generates the complete suite of central bank regulatory returns required under BRPD guidelines: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Return Code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Central Bank Form Title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Reporting Frequency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Generation Method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CL-1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 Statement of Outstanding Credit, Classification &amp; Provisioning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One-Click Export (CSV / Excel / PDF)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CL-2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Breakdown of Sectoral &amp; Large Borrower Classifications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Aggregated by BB Sector Code &amp; Single Borrower Limits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CL-3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Statement of Top 20 Defaulted Borrowers &amp; Action Plans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Auto-sorted by gross defaulted balance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CL-4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Statement of Rescheduled &amp; Restructured Loans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Filtered by active probationary reschedule tags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CL-5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Statement of Written-Off Loans &amp; Recovery Progress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Quarterly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Historical ledger tracking recovery collections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7. Audit Defense &amp; Regulatory Certification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When Bangladesh Bank inspection teams conduct on-site examinations: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Instant Audit Trails: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Compliance officers can produce a complete, unalterable timeline showing every repayment, missed due date, DPD milestone, and provision recalculation.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Contractual Regulatory Guarantee: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includes a formal warranty in its Master Software License Agreement guaranteeing that the ULMS classification engine complies 100% with BRPD Circular 15/2024, with guaranteed free regulatory patches for future central bank amendments.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Regulatory Compliance &amp; Financial Architecture.</w:t>
      </w:r>
    </w:p>
    <w:p>
      <w:r>
        <w:rPr>
          <w:b/>
        </w:rPr>
        <w:t>Addendum — v3.1.0 corrections (Independent Forensic Re-audit, 8 October 2026)</w:t>
      </w:r>
    </w:p>
    <w:p>
      <w:r>
        <w:t>Statutory currency note: BRPD Circular No. 05 of 25 June 2025 amends and complements Circular No. 15 of 27 November 2024 (risk-sensitivity enhancements to loan classification and provisioning). The seven-stage DPD/provisioning tables in this paper state the Circular 15/2024 baseline; the free regulatory-update commitment covers Circular 05/2025 changes. Issuance (27 Nov 2024) and effectiveness (1 Apr 2025) verified against Bangladesh Bank publications.</w:t>
      </w:r>
    </w:p>
    <w:p>
      <w:r>
        <w:t>IFRS-9 roadmap (verified): the BRPD circular of 23 January 2025 requires full ECL-based provisioning by December 2027, with pilot coverage — branches holding at least 75% of the loan portfolio — by June 2027.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Regulatory Whitepaper: Automated Compliance 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Whitepaper: Automated Compliance with BRPD Circular 15/2024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