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Regulatory Dossier - CIB Online Real-Time Integration &amp; Monthly Reporting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DOC-37-REG-03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DOC-37-REG-03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Technical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[head_of_cib, cro, cio, head_of_credit_operations, compliance_officer]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Regulatory Dossier: CIB Online Real-Time Integration &amp; Reporting</w:t>
      </w:r>
    </w:p>
    <w:p>
      <w:pPr>
        <w:pStyle w:val="Heading2"/>
        <w:keepNext/>
      </w:pPr>
      <w:r>
        <w:t>Machine-to-Machine REST Gateway, Automated Ingestion &amp; Central Bank Batch Return Generation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Customer credit profile showing parsed CIB report" title="Figure 1: Production UI — Real-Time CIB Inquiry Results &amp; Cross-Institution Exposure Doss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cust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Real-Time CIB Inquiry Results &amp; Cross-Institution Exposure Dossier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DOC-37-REG-03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Mandate: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Credit Information Bureau (CIB) Guidelines &amp; Circulars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Senior Banking Integration Architect &amp; CIB Operations Lead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Operational Whitepaper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Operational Context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28000"/>
            <wp:docPr id="2" name="Picture 2" descr="API endpoints matrix for central bank gateway" title="Figure 2: API Architecture — Bangladesh Bank CIB REST Gateway Machine-to-Machine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endpoi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API Architecture — Bangladesh Bank CIB REST Gateway Machine-to-Machine Interface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In Bangladesh banking, inquiring into the </w:t>
      </w:r>
      <w:r>
        <w:rPr>
          <w:rFonts w:ascii="Calibri" w:hAnsi="Calibri" w:eastAsia="Calibri"/>
          <w:b/>
          <w:i w:val="0"/>
          <w:color w:val="222222"/>
          <w:sz w:val="19"/>
        </w:rPr>
        <w:t>Credit Information Bureau (CIB)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of Bangladesh Bank is a mandatory statutory precondition before the sanction, renewal, or rescheduling of any credit facility.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Historically, commercial banks operate manual CIB cells where branch officers email physical requisition forms to a centralized Head Office team. Designated operators manually log into the Bangladesh Bank web portal, download PDF reports, and email them back—a process consuming </w:t>
      </w:r>
      <w:r>
        <w:rPr>
          <w:rFonts w:ascii="Calibri" w:hAnsi="Calibri" w:eastAsia="Calibri"/>
          <w:b/>
          <w:i w:val="0"/>
          <w:color w:val="222222"/>
          <w:sz w:val="19"/>
        </w:rPr>
        <w:t>24 to 72 hours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and exposing sensitive financial data to human handling.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completely eliminates this operational bottleneck through a certified,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CIB Online Machine-to-Machine REST Integration Gateway</w:t>
      </w:r>
      <w:r>
        <w:rPr>
          <w:rFonts w:ascii="Calibri" w:hAnsi="Calibri" w:eastAsia="Calibri"/>
          <w:b w:val="0"/>
          <w:i w:val="0"/>
          <w:color w:val="222222"/>
          <w:sz w:val="19"/>
        </w:rPr>
        <w:t>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Real-Time Automated Inquiries: Direct API query triggered from the branch onboarding screen, returning structured credit histories in ~3 seconds (PoC pass criterion &lt; 3.0 s).</w:t>
      </w:r>
      <w:r>
        <w:rPr>
          <w:rFonts w:ascii="Calibri" w:hAnsi="Calibri" w:eastAsia="Calibri"/>
          <w:b w:val="0"/>
          <w:i w:val="0"/>
          <w:color w:val="222222"/>
          <w:sz w:val="19"/>
        </w:rPr>
      </w:r>
      <w:r>
        <w:rPr>
          <w:rFonts w:ascii="Calibri" w:hAnsi="Calibri" w:eastAsia="Calibri"/>
          <w:b/>
          <w:i w:val="0"/>
          <w:color w:val="222222"/>
          <w:sz w:val="19"/>
        </w:rPr>
      </w:r>
      <w:r>
        <w:rPr>
          <w:rFonts w:ascii="Calibri" w:hAnsi="Calibri" w:eastAsia="Calibri"/>
          <w:b w:val="0"/>
          <w:i w:val="0"/>
          <w:color w:val="222222"/>
          <w:sz w:val="19"/>
        </w:rPr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Zero-Human-Error Parsing: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Converts central bank XML/JSON responses into relational risk metrics, credit scorecards, and cross-default tags.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Automated Monthly Reporting: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Compiles and exports central bank monthly Subject and Contract batch files natively.</w:t>
      </w:r>
    </w:p>
    <w:p>
      <w:pPr>
        <w:pStyle w:val="Heading2"/>
        <w:keepNext/>
      </w:pPr>
      <w:r>
        <w:t>2. End-to-End Real-Time Inquiry Architecture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Origination pipeline screen illustrating automated CIB hard check" title="Figure 3: Underwriting Pipeline — Automated Pre-Sanction CIB Screening Trig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Underwriting Pipeline — Automated Pre-Sanction CIB Screening Trigger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System Architecture Specification (Mermaid DSL):  [Diagram Topology: sequenceDiagram]</w:t>
              <w:br/>
              <w:t>sequenceDiagram</w:t>
              <w:br/>
              <w:t xml:space="preserve">    autonumber</w:t>
              <w:br/>
              <w:t xml:space="preserve">    actor Officer as Branch Credit Officer</w:t>
              <w:br/>
              <w:t xml:space="preserve">    participant ULMS as ULMS Origination Engine</w:t>
              <w:br/>
              <w:t xml:space="preserve">    participant Gateway as CIB Integration Gateway</w:t>
              <w:br/>
              <w:t xml:space="preserve">    participant BB as Bangladesh Bank CIB Server    Officer-&gt;&gt;ULMS: Submit application (NID consent)    ULMS-&gt;&gt;Gateway: Request CIB inquiry    Gateway-&gt;&gt;BB: Inquiry over leased line    BB--&gt;&gt;Gateway: CIB report (XML)    Gateway--&gt;&gt;ULMS: Parsed report + classification    ULMS--&gt;&gt;Officer: Decision-ready memo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 Automated Parsing &amp; Risk Extraction Capabilities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Upon receiving the central bank response, the ULMS CIB parser deterministically extracts and computes key credit metrics:</w:t>
      </w:r>
    </w:p>
    <w:p>
      <w:pPr>
        <w:pStyle w:val="Heading3"/>
        <w:keepNext/>
      </w:pPr>
      <w:r>
        <w:t>1. Cross-Institution Total Funded &amp; Non-Funded Exposure: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Aggregates active borrowing across all 62 commercial banks and 35 NBFIs in Bangladesh.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Categorizes exposure into: Continuous Overdrafts, Term Loans, Credit Cards, Letters of Credit (LC), and Guarantees.</w:t>
      </w:r>
    </w:p>
    <w:p>
      <w:pPr>
        <w:pStyle w:val="Heading3"/>
        <w:keepNext/>
      </w:pPr>
      <w:r>
        <w:t>2. Default &amp; Litigation History Detection (Hard-Stop Triggers):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Active Classified Facilities: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Detects any facility currently tagged as Sub-Standard (SS), Doubtful (DF), or Bad/Loss (B/L) anywhere in the financial system.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Historical Write-Offs: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Scans for historical bank write-offs in the borrower’s name or associated business concerns.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Artha Rin Adalat Litigation: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Flags active court cases or money loan recovery suits.</w:t>
      </w:r>
    </w:p>
    <w:p>
      <w:pPr>
        <w:pStyle w:val="Heading3"/>
        <w:keepNext/>
      </w:pPr>
      <w:r>
        <w:t>3. Automated Borrower Deduplication &amp; Group Exposure: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Matches borrower records using 10-digit Smart NID, 17-digit legacy NID, Tax Identification Number (e-TIN), and Company Registration (RJSC).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Consolidates sister concerns under the </w:t>
      </w:r>
      <w:r>
        <w:rPr>
          <w:rFonts w:ascii="Calibri" w:hAnsi="Calibri" w:eastAsia="Calibri"/>
          <w:b/>
          <w:i w:val="0"/>
          <w:color w:val="222222"/>
          <w:sz w:val="19"/>
        </w:rPr>
        <w:t>Single Borrower Exposure Limit (SBEL)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rules of Bangladesh Bank.</w:t>
      </w:r>
    </w:p>
    <w:p>
      <w:pPr>
        <w:pStyle w:val="Heading2"/>
        <w:keepNext/>
      </w:pPr>
      <w:r>
        <w:t>4. Automated Monthly CIB Batch Reporting Engine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central bank directives, scheduled banks must submit monthly electronic CIB returns capturing all active borrowers and contract statuses by the 10th of every calendar month.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automates the generation, validation, and encryption of both mandatory central bank files: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File Code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Central Bank Statement Title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Records Captured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Validation &amp; Export Method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SUBJECT.TXT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Master Borrower Demographic &amp; Identity File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NID, TIN, Trade License, Address, Group Linkages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Schema Validator (Enforces the CIB validation rule set (see the CIB validation specification))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CONTRACT.TXT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Monthly Credit Facility Performance File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Sanctioned Limit, Outstanding Balance, DPD, Installment Due, Classification Status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Ledger Reconciliation vs. CBS General Ledger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Pre-Submission Error Screening Engine: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Before exporting files for central bank transmission, the built-in validator scans for common submission errors that trigger central bank rejections: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Invalid or duplicate NID formats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Negative outstanding balance anomalies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Inconsistent classification codes vs. DPD ranges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Unmatched contract account numbers</w:t>
      </w:r>
    </w:p>
    <w:p>
      <w:pPr>
        <w:pStyle w:val="Heading2"/>
        <w:keepNext/>
      </w:pPr>
      <w:r>
        <w:t>5. Security, Audit Trail &amp; Statutory Privacy Protection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compliance with the Bangladesh Bank ICT Security Guidelines V4.0 and central bank CIB regulations: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Mutual TLS &amp; PKI Encryption: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All communications with Bangladesh Bank utilize 256-bit AES encryption over mTLS with hardware security module (HSM) key storage.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Borrower Consent Verification: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requires an uploaded, signed borrower consent form before permitting an automated CIB inquiry to execute.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Permanent Forensic Audit Log: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Logs the initiating officer ID, timestamp, branch code, customer IP, and purpose of every single CIB query, ready for central bank regulatory inspection.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Banking Integration &amp; Regulatory Infrastructure.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Regulatory Dossier - CIB Online Real-Time 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Regulatory Dossier - CIB Online Real-Time Integration &amp; Monthly Reporting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