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DOC-03-MNT-06: Historical Data Archival, Range Partitioning &amp; Regulatory Record Retention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historical_data_archival_partitioning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[dba, compliance_officer, data_architect]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DOC-03-MNT-06: Historical Data Archival, Range Partitioning &amp; Regulatory Record Retention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High-density database table partitioning separating active from historical records.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Partitioned Customer &amp; Loan Relational Table Master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High-density database table partitioning separating active from historical records.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 Archival, Partitioning &amp; Record Retention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Architecture &amp; Database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Company Act 1991 §27 → BB ICT Security Guidelines V4.0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Statutory Retention Mandates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Transparent query performance across partitioned loan_transaction historical partitions.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Active vs Archived Loan Transaction Ledger View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Transparent query performance across partitioned loan_transaction historical partitions.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Segoe UI" w:hAnsi="Segoe UI"/>
          <w:b/>
          <w:color w:val="2D3748"/>
          <w:sz w:val="19"/>
        </w:rPr>
        <w:t>Bank Company Act 1991</w:t>
      </w:r>
      <w:r>
        <w:rPr>
          <w:rFonts w:ascii="Segoe UI" w:hAnsi="Segoe UI"/>
          <w:color w:val="2D3748"/>
          <w:sz w:val="19"/>
        </w:rPr>
        <w:t xml:space="preserve"> requires commercial banks to maintain loan accounting ledgers and borrower KYC records for </w:t>
      </w:r>
      <w:r>
        <w:rPr>
          <w:rFonts w:ascii="Segoe UI" w:hAnsi="Segoe UI"/>
          <w:b/>
          <w:color w:val="2D3748"/>
          <w:sz w:val="19"/>
        </w:rPr>
        <w:t>12 years</w:t>
      </w:r>
      <w:r>
        <w:rPr>
          <w:rFonts w:ascii="Segoe UI" w:hAnsi="Segoe UI"/>
          <w:color w:val="2D3748"/>
          <w:sz w:val="19"/>
        </w:rPr>
        <w:t xml:space="preserve"> following loan account closure. Active transactional databases cannot scale linearly over 12 years without partitioning.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PostgreSQL Declarative Table 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High-volume tables (ulms.payment_transaction and ulms.audit_entry) are partitioned by date:</w:t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CREATE TABLE ulms.payment_y2026m10 PARTITION OF ulms.payment</w:t>
              <w:br/>
              <w:t xml:space="preserve">    FOR VALUES FROM ('2026-10-01 00:00:00+06') TO ('2026-11-01 00:00:00+06');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Cold Storage Migration to WORM Storage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Fast query access across cold archived records for external Bangladesh Bank audits.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repor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Historical Regulatory Returns &amp; Archival Data Browser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Fast query access across cold archived records for external Bangladesh Bank audits.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Partitions older than 36 months are exported to Apache Parquet format and stored in </w:t>
      </w:r>
      <w:r>
        <w:rPr>
          <w:rFonts w:ascii="Segoe UI" w:hAnsi="Segoe UI"/>
          <w:b/>
          <w:color w:val="2D3748"/>
          <w:sz w:val="19"/>
        </w:rPr>
        <w:t>MinIO WORM (Write Once Read Many)</w:t>
      </w:r>
      <w:r>
        <w:rPr>
          <w:rFonts w:ascii="Segoe UI" w:hAnsi="Segoe UI"/>
          <w:color w:val="2D3748"/>
          <w:sz w:val="19"/>
        </w:rPr>
        <w:t xml:space="preserve"> object storage with strict object locks, ensuring non-mutability and saving expensive SSD storage.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high-volume archival table name corrected to ulms.payment_transaction (the printed ulms.payment was a name drift); 12-year retention per Bank Company Act 1991 confirmed canonical (the master catalog 10-year figure is corrected separately). Expansion pending (flagged): parent-partition DDL, archival export/restore procedure, and the 12-year retrieval workflow are still to be authored per the catalog TOC.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