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06 QUALITY ASSURANCE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DOC-06-QA-02: Security Hardening, SAST/DAST &amp; OWASP ASVS Verification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DOC-06-QA-02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security_hardening_sast_dast_owasp_asvs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[security_lead, penetration_tester, compliance_auditor]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DOC-06-QA-02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DOC-06-QA-02: Security Hardening, SAST/DAST &amp; OWASP ASVS Verification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Level 3 compliance verifying credential defense, MFA, and brute-force lockout protections.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OWASP ASVS Verified Staff Authentication Portal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Level 3 compliance verifying credential defense, MFA, and brute-force lockout protections.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Security Hardening &amp; OWASP ASVS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Information Security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OWASP ASVS v4.0.3 Level 3 → BB ICT Security Guidelines V4.0 §5.0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OWASP ASVS Level 3 Verification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ASVS Area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Standard Requirement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ULMS Implementation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Verification Tool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 Architecture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Secure architecture and trust boundaries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Spring Modulith boundary rules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ArchUnit &amp; ModularityTest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V2 Authentication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Strong credentials and MFA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Keycloak 26 OIDC with WebAuthn/TOTP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ZAP DAST Scanner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V3 Session Mgmt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Secure cookies and token timeout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Stateless JWT, 15m access token expiry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Burp Suite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V4 Access Control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Object-level authorization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Spring </w:t>
            </w:r>
            <w:r>
              <w:rPr>
                <w:rFonts w:ascii="Consolas" w:hAnsi="Consolas"/>
                <w:color w:val="801515"/>
                <w:sz w:val="16"/>
              </w:rPr>
              <w:t>@PreAuthorize("hasRole(...)")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SonarQube SAST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V5 Cryptography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Strong encryption in transit and rest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TLS 1.3, AES-256 for PII/collateral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Trivy Container Scan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Continuous SAST/DAST Verification Gates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Continuous security pipeline blocking high-severity CVEs and code vulnerabilities.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5281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_tes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528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Automated SAST, DAST &amp; Dependency Security Gates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Continuous security pipeline blocking high-severity CVEs and code vulnerabilities.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In every CI pipeline: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SonarQube SAST:</w:t>
      </w:r>
      <w:r>
        <w:rPr>
          <w:rFonts w:ascii="Segoe UI" w:hAnsi="Segoe UI"/>
          <w:color w:val="2D3748"/>
          <w:sz w:val="19"/>
        </w:rPr>
        <w:t xml:space="preserve"> Zero blocker, critical, or high security bugs.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OWASP Dependency-Check:</w:t>
      </w:r>
      <w:r>
        <w:rPr>
          <w:rFonts w:ascii="Segoe UI" w:hAnsi="Segoe UI"/>
          <w:color w:val="2D3748"/>
          <w:sz w:val="19"/>
        </w:rPr>
        <w:t xml:space="preserve"> Zero dependencies with CVSS score $\ge 7.0$.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Trivy Container Scanner:</w:t>
      </w:r>
      <w:r>
        <w:rPr>
          <w:rFonts w:ascii="Segoe UI" w:hAnsi="Segoe UI"/>
          <w:color w:val="2D3748"/>
          <w:sz w:val="19"/>
        </w:rPr>
        <w:t xml:space="preserve"> Zero vulnerabilities in base Alpine Linux OS packages.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Hardened Network Perimeter &amp; Least-Privilege Architecture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Network zoning, TLS 1.3 encryption, and AES-256 data-at-rest security guarantees.</w:t>
      </w:r>
    </w:p>
    <w:p>
      <w:r>
        <w:rPr>
          <w:b/>
        </w:rPr>
        <w:t>Addendum — v3.1.0 corrections (Independent Forensic Re-audit, 8 October 2026)</w:t>
      </w:r>
    </w:p>
    <w:p>
      <w:r>
        <w:t>ASVS level unified to Level 3 corpus-wide (v3.1.0) per the master catalog (regulated financial institutions); the implemented secret-scanning gate is gitleaks (see DEP-07). The Trivy-for-crypto verification-tool mapping and SonarQube/Burp CI-gate positioning are flagged for revision when the target toolchain lands.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DOC-06-QA-02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