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2"/>
        </w:rPr>
        <w:t>周频趋势</w:t>
      </w:r>
    </w:p>
    <w:p/>
    <w:p>
      <w:pPr>
        <w:jc w:val="left"/>
      </w:pPr>
      <w:r>
        <w:rPr>
          <w:rFonts w:ascii="黑体" w:hAnsi="黑体" w:eastAsia="黑体"/>
          <w:b/>
          <w:color w:val="000000"/>
          <w:sz w:val="24"/>
        </w:rPr>
        <w:t>周频汇总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4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4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color w:val="000000"/>
          <w:sz w:val="22"/>
        </w:rPr>
        <w:t>W4（4/20-26）为播放量与收益峰值周，都市题材播放量61.3万、收益665元，占当周主导。女频W4播放量51.7万、收益659元，贡献当周52%收益。</w:t>
      </w:r>
    </w:p>
    <w:p>
      <w:pPr>
        <w:jc w:val="left"/>
      </w:pPr>
      <w:r>
        <w:rPr>
          <w:rFonts w:ascii="宋体" w:hAnsi="宋体" w:eastAsia="宋体"/>
          <w:color w:val="000000"/>
          <w:sz w:val="22"/>
        </w:rPr>
        <w:t>W1无数据产出，W2起逐步放量，W4达峰值后W5小幅回落。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