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2"/>
        </w:rPr>
        <w:t>日频趋势</w:t>
      </w:r>
    </w:p>
    <w:p/>
    <w:p>
      <w:pPr>
        <w:jc w:val="left"/>
      </w:pPr>
      <w:r>
        <w:rPr>
          <w:rFonts w:ascii="黑体" w:hAnsi="黑体" w:eastAsia="黑体"/>
          <w:b/>
          <w:color w:val="000000"/>
          <w:sz w:val="24"/>
        </w:rPr>
        <w:t>按频道分类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9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channe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color w:val="000000"/>
          <w:sz w:val="22"/>
        </w:rPr>
        <w:t>女频播放量与收益整体高于男频，两频道趋势基本同步。</w:t>
      </w:r>
    </w:p>
    <w:p/>
    <w:p>
      <w:pPr>
        <w:jc w:val="left"/>
      </w:pPr>
      <w:r>
        <w:rPr>
          <w:rFonts w:ascii="黑体" w:hAnsi="黑体" w:eastAsia="黑体"/>
          <w:b/>
          <w:color w:val="000000"/>
          <w:sz w:val="24"/>
        </w:rPr>
        <w:t>按题材分类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9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genre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color w:val="000000"/>
          <w:sz w:val="22"/>
        </w:rPr>
        <w:t>都市题材占主导，玄幻次之，末世体量最小。</w:t>
      </w:r>
    </w:p>
    <w:p/>
    <w:p>
      <w:pPr>
        <w:jc w:val="left"/>
      </w:pPr>
      <w:r>
        <w:rPr>
          <w:rFonts w:ascii="黑体" w:hAnsi="黑体" w:eastAsia="黑体"/>
          <w:b/>
          <w:color w:val="000000"/>
          <w:sz w:val="24"/>
        </w:rPr>
        <w:t>峰值分析</w:t>
      </w:r>
    </w:p>
    <w:p>
      <w:pPr>
        <w:jc w:val="left"/>
      </w:pPr>
      <w:r>
        <w:rPr>
          <w:rFonts w:ascii="宋体" w:hAnsi="宋体" w:eastAsia="宋体"/>
          <w:color w:val="000000"/>
          <w:sz w:val="22"/>
        </w:rPr>
        <w:t>4/17-4/18 流量高峰：播放量分别达22.4万、19.4万，为日均的4-5倍，系爆款剧目集中放量所致；4/22收益峰值483元，为日均收益的6倍。</w:t>
      </w:r>
    </w:p>
    <w:p>
      <w:pPr>
        <w:jc w:val="left"/>
      </w:pPr>
      <w:r>
        <w:rPr>
          <w:rFonts w:ascii="宋体" w:hAnsi="宋体" w:eastAsia="宋体"/>
          <w:color w:val="000000"/>
          <w:sz w:val="22"/>
        </w:rPr>
        <w:t>月末回升（4/28-4/30）：播放量回升至15.5万-15.9万区间，临近五一假期，用户活跃度提升。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