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color w:val="000000"/>
          <w:sz w:val="32"/>
        </w:rPr>
        <w:t>周频趋势</w:t>
      </w:r>
    </w:p>
    <w:p/>
    <w:p>
      <w:pPr>
        <w:jc w:val="left"/>
      </w:pPr>
      <w:r>
        <w:rPr>
          <w:rFonts w:ascii="黑体" w:hAnsi="黑体" w:eastAsia="黑体"/>
          <w:b/>
          <w:color w:val="000000"/>
          <w:sz w:val="24"/>
        </w:rPr>
        <w:t>周频汇总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ly_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宋体" w:hAnsi="宋体" w:eastAsia="宋体"/>
          <w:color w:val="000000"/>
          <w:sz w:val="22"/>
        </w:rPr>
        <w:t>W4（4/20-26）为播放量与收益峰值周，都市题材播放量61.3万，女频收益659元占当周总收益的52%。</w:t>
      </w:r>
    </w:p>
    <w:p>
      <w:pPr>
        <w:jc w:val="left"/>
      </w:pPr>
      <w:r>
        <w:rPr>
          <w:rFonts w:ascii="宋体" w:hAnsi="宋体" w:eastAsia="宋体"/>
          <w:color w:val="000000"/>
          <w:sz w:val="22"/>
        </w:rPr>
        <w:t>万播收益方面，玄幻题材整体表现最优（17.7元/万播），女频与男频变现效率接近（16.7元 vs 16.7元）。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