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2"/>
        </w:rPr>
        <w:t>月频趋势</w:t>
      </w:r>
    </w:p>
    <w:p/>
    <w:p>
      <w:pPr>
        <w:jc w:val="left"/>
      </w:pPr>
      <w:r>
        <w:rPr>
          <w:rFonts w:ascii="黑体" w:hAnsi="黑体" w:eastAsia="黑体"/>
          <w:b/>
          <w:color w:val="000000"/>
          <w:sz w:val="24"/>
        </w:rPr>
        <w:t>月频汇总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62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2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宋体" w:hAnsi="宋体" w:eastAsia="宋体"/>
          <w:color w:val="000000"/>
          <w:sz w:val="22"/>
        </w:rPr>
        <w:t>都市题材占据绝对主导，播放量占比69.3%（97.6万），收益占比69.1%（1649元）；玄幻题材播放量占比28.5%，万播收益最高（17.7元/万播）。</w:t>
      </w:r>
    </w:p>
    <w:p>
      <w:pPr>
        <w:jc w:val="left"/>
      </w:pPr>
      <w:r>
        <w:rPr>
          <w:rFonts w:ascii="宋体" w:hAnsi="宋体" w:eastAsia="宋体"/>
          <w:color w:val="000000"/>
          <w:sz w:val="22"/>
        </w:rPr>
        <w:t>频道方面，女频贡献69.2%播放量（98.7万）和69.3%收益（1651元），男女频万播收益接近（均为16.7元），变现效率相当。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