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C2410C"/>
          <w:spacing w:val="60"/>
          <w:sz w:val="18"/>
          <w:szCs w:val="18"/>
        </w:rPr>
        <w:t xml:space="preserve">NLP LAB 11</w:t>
      </w:r>
    </w:p>
    <w:p>
      <w:pPr>
        <w:pStyle w:val="Title2"/>
      </w:pPr>
      <w:r>
        <w:t xml:space="preserve">Byte Pair Encoding</w:t>
      </w:r>
    </w:p>
    <w:p>
      <w:pPr>
        <w:spacing w:after="300"/>
      </w:pPr>
      <w:r>
        <w:rPr>
          <w:rFonts w:ascii="Georgia" w:cs="Georgia" w:eastAsia="Georgia" w:hAnsi="Georgia"/>
          <w:i/>
          <w:iCs/>
          <w:color w:val="4A423A"/>
          <w:sz w:val="26"/>
          <w:szCs w:val="26"/>
        </w:rPr>
        <w:t xml:space="preserve">Tokenizer &amp; Vocabulary Building with Vocabulary-Size Analysis</w:t>
      </w:r>
    </w:p>
    <w:p>
      <w:pPr>
        <w:spacing w:after="140" w:line="300"/>
      </w:pPr>
      <w:r>
        <w:rPr>
          <w:b/>
          <w:bCs/>
        </w:rPr>
        <w:t xml:space="preserve">Course: Natural Language Processing Lab</w:t>
      </w:r>
    </w:p>
    <w:p>
      <w:pPr>
        <w:spacing w:after="140" w:line="300"/>
      </w:pPr>
      <w:r>
        <w:t xml:space="preserve">Batch: AI-23</w:t>
      </w:r>
    </w:p>
    <w:p>
      <w:pPr>
        <w:spacing w:after="140" w:line="300"/>
      </w:pPr>
      <w:r>
        <w:t xml:space="preserve">Dataset: AG News (text only)</w:t>
      </w:r>
    </w:p>
    <w:p>
      <w:pPr>
        <w:spacing w:after="140" w:line="300"/>
      </w:pPr>
      <w:r>
        <w:t xml:space="preserve">Deliverable: BPE implemented from scratch · FastAPI backend · React UI · this report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Objective</w:t>
      </w:r>
    </w:p>
    <w:p>
      <w:pPr>
        <w:spacing w:after="140" w:line="300"/>
      </w:pPr>
      <w:r>
        <w:t xml:space="preserve">This project extends the lab’s from-scratch Byte Pair Encoding (BPE) implementation into a complete, runnable system. The goals are to (a) implement BPE without any tokenizer library, (b) train it on a real corpus using a proper train/test split, (c) study how vocabulary size affects tokenization, and (d) expose the trained models through a web API and an interactive React interface.</w:t>
      </w:r>
    </w:p>
    <w:p>
      <w:pPr>
        <w:pStyle w:val="Heading1"/>
      </w:pPr>
      <w:r>
        <w:t xml:space="preserve">2. Background</w:t>
      </w:r>
    </w:p>
    <w:p>
      <w:pPr>
        <w:pStyle w:val="Heading2"/>
      </w:pPr>
      <w:r>
        <w:t xml:space="preserve">Tokenization</w:t>
      </w:r>
    </w:p>
    <w:p>
      <w:pPr>
        <w:spacing w:after="140" w:line="300"/>
      </w:pPr>
      <w:r>
        <w:t xml:space="preserve">Tokenization breaks raw text into smaller units. Word-level splitting produces a huge vocabulary and cannot handle unseen words, while character-level splitting handles everything but produces very long sequences. Subword tokenization sits between the two.</w:t>
      </w:r>
    </w:p>
    <w:p>
      <w:pPr>
        <w:pStyle w:val="Heading2"/>
      </w:pPr>
      <w:r>
        <w:t xml:space="preserve">Byte Pair Encoding</w:t>
      </w:r>
    </w:p>
    <w:p>
      <w:pPr>
        <w:spacing w:after="140" w:line="300"/>
      </w:pPr>
      <w:r>
        <w:t xml:space="preserve">BPE starts from characters and repeatedly merges the most frequent adjacent symbol pair, each merge adding one subword to the vocabulary. Frequent words collapse into single tokens while rare words remain split into reusable pieces, so any word — even an unseen one — can always be represented. The number of merges is the key hyper-parameter controlling vocabulary size. BPE underlies tokenizers used in GPT, BERT and similar models.</w:t>
      </w:r>
    </w:p>
    <w:p>
      <w:pPr>
        <w:pStyle w:val="Heading1"/>
      </w:pPr>
      <w:r>
        <w:t xml:space="preserve">3. Methodology</w:t>
      </w:r>
    </w:p>
    <w:p>
      <w:pPr>
        <w:pStyle w:val="Heading2"/>
      </w:pPr>
      <w:r>
        <w:t xml:space="preserve">3.1 Dataset selection and cleaning</w:t>
      </w:r>
    </w:p>
    <w:p>
      <w:pPr>
        <w:spacing w:after="140" w:line="300"/>
      </w:pPr>
      <w:r>
        <w:t xml:space="preserve">The AG News corpus was used (title + description as text only). Cleaning lowercased the text and removed every non-alphanumeric character, collapsing whitespace. 4,000 sentences were sampled for experimentation.</w:t>
      </w:r>
    </w:p>
    <w:p>
      <w:pPr>
        <w:pStyle w:val="ListParagraph"/>
        <w:numPr>
          <w:ilvl w:val="0"/>
          <w:numId w:val="2"/>
        </w:numPr>
        <w:spacing w:after="60"/>
      </w:pPr>
      <w:r>
        <w:t xml:space="preserve">Lowercasing — removes case as a source of duplicate tokens.</w:t>
      </w:r>
    </w:p>
    <w:p>
      <w:pPr>
        <w:pStyle w:val="ListParagraph"/>
        <w:numPr>
          <w:ilvl w:val="0"/>
          <w:numId w:val="2"/>
        </w:numPr>
        <w:spacing w:after="60"/>
      </w:pPr>
      <w:r>
        <w:t xml:space="preserve">Special-character removal — keeps letters, digits and spaces only.</w:t>
      </w:r>
    </w:p>
    <w:p>
      <w:pPr>
        <w:pStyle w:val="ListParagraph"/>
        <w:numPr>
          <w:ilvl w:val="0"/>
          <w:numId w:val="2"/>
        </w:numPr>
        <w:spacing w:after="60"/>
      </w:pPr>
      <w:r>
        <w:t xml:space="preserve">Length filter — sentences with fewer than four words were dropped.</w:t>
      </w:r>
    </w:p>
    <w:p>
      <w:pPr>
        <w:pStyle w:val="Heading2"/>
      </w:pPr>
      <w:r>
        <w:t xml:space="preserve">3.2 Train/test split</w:t>
      </w:r>
    </w:p>
    <w:p>
      <w:pPr>
        <w:spacing w:after="140" w:line="300"/>
      </w:pPr>
      <w:r>
        <w:t xml:space="preserve">The cleaned sentences were shuffled with a fixed seed and split 80/20: 3,200 training and 800 testing sentences. The BPE merge rules were learned strictly from the training words (131,275 word tokens, 12,777 unique). The test set was never seen during training and was used only for evaluation.</w:t>
      </w:r>
    </w:p>
    <w:p>
      <w:pPr>
        <w:pStyle w:val="Heading2"/>
      </w:pPr>
      <w:r>
        <w:t xml:space="preserve">3.3 Training BPE</w:t>
      </w:r>
    </w:p>
    <w:p>
      <w:pPr>
        <w:spacing w:after="140" w:line="300"/>
      </w:pPr>
      <w:r>
        <w:t xml:space="preserve">Three models were trained at 100, 500 and 1000 merges using the same from-scratch implementation: word-frequency counting, pair statistics, greedy most-frequent-pair merging, and vocabulary extraction. Each model was serialized to JSON (ordered merge rules + vocabulary) so the backend can load it without retraining.</w:t>
      </w:r>
    </w:p>
    <w:p>
      <w:pPr>
        <w:pStyle w:val="Heading1"/>
      </w:pPr>
      <w:r>
        <w:t xml:space="preserve">4. Implementation</w:t>
      </w:r>
    </w:p>
    <w:p>
      <w:pPr>
        <w:spacing w:after="140" w:line="300"/>
      </w:pPr>
      <w:r>
        <w:t xml:space="preserve">The core algorithm follows the lab exactly and adds a rank-based encoder for applying learned merges to new words.</w:t>
      </w:r>
    </w:p>
    <w:p>
      <w:pPr>
        <w:pStyle w:val="ListParagraph"/>
        <w:numPr>
          <w:ilvl w:val="0"/>
          <w:numId w:val="2"/>
        </w:numPr>
        <w:spacing w:after="60"/>
      </w:pPr>
      <w:r>
        <w:t xml:space="preserve">get_word_freqs — represents each word as characters plus an end-of-word marker “&lt;/w&gt;”.</w:t>
      </w:r>
    </w:p>
    <w:p>
      <w:pPr>
        <w:pStyle w:val="ListParagraph"/>
        <w:numPr>
          <w:ilvl w:val="0"/>
          <w:numId w:val="2"/>
        </w:numPr>
        <w:spacing w:after="60"/>
      </w:pPr>
      <w:r>
        <w:t xml:space="preserve">get_stats — counts every adjacent symbol pair weighted by word frequency.</w:t>
      </w:r>
    </w:p>
    <w:p>
      <w:pPr>
        <w:pStyle w:val="ListParagraph"/>
        <w:numPr>
          <w:ilvl w:val="0"/>
          <w:numId w:val="2"/>
        </w:numPr>
        <w:spacing w:after="60"/>
      </w:pPr>
      <w:r>
        <w:t xml:space="preserve">merge — replaces the chosen pair with a single joined symbol everywhere.</w:t>
      </w:r>
    </w:p>
    <w:p>
      <w:pPr>
        <w:pStyle w:val="ListParagraph"/>
        <w:numPr>
          <w:ilvl w:val="0"/>
          <w:numId w:val="2"/>
        </w:numPr>
        <w:spacing w:after="60"/>
      </w:pPr>
      <w:r>
        <w:t xml:space="preserve">train — repeats the above N times, recording the ordered list of merges.</w:t>
      </w:r>
    </w:p>
    <w:p>
      <w:pPr>
        <w:pStyle w:val="ListParagraph"/>
        <w:numPr>
          <w:ilvl w:val="0"/>
          <w:numId w:val="2"/>
        </w:numPr>
        <w:spacing w:after="60"/>
      </w:pPr>
      <w:r>
        <w:t xml:space="preserve">tokenize_word — applies merges to a new word by always taking the lowest-rank (earliest-learned) pair first, with single-character fallback for anything unknown.</w:t>
      </w:r>
    </w:p>
    <w:p>
      <w:pPr>
        <w:spacing w:after="140" w:line="300"/>
      </w:pPr>
      <w:r>
        <w:t xml:space="preserve">The backend (FastAPI) loads the three serialized models and exposes /tokenize, /compare, /merges, /subwords, /vocab and /report. The frontend (React + Vite) calls these endpoints to tokenize text live, compare vocabulary sizes side by side, and display merge rules and metrics.</w:t>
      </w:r>
    </w:p>
    <w:p>
      <w:pPr>
        <w:pStyle w:val="Heading1"/>
      </w:pPr>
      <w:r>
        <w:t xml:space="preserve">5. Results</w:t>
      </w:r>
    </w:p>
    <w:p>
      <w:pPr>
        <w:pStyle w:val="Heading2"/>
      </w:pPr>
      <w:r>
        <w:t xml:space="preserve">5.1 First 10 merge rules (1000-merge model)</w:t>
      </w:r>
    </w:p>
    <w:p>
      <w:pPr>
        <w:spacing w:after="140" w:line="300"/>
      </w:pPr>
      <w:r>
        <w:t xml:space="preserve">The earliest merges are the most frequent patterns in English: common word endings attaching to the end-of-word marker, then frequent letter pairs.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460"/>
      </w:tblGrid>
      <w:tr>
        <w:tc>
          <w:tcPr>
            <w:tcW w:type="dxa" w:w="140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Step</w:t>
            </w:r>
          </w:p>
        </w:tc>
        <w:tc>
          <w:tcPr>
            <w:tcW w:type="dxa" w:w="350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Merged pair</w:t>
            </w:r>
          </w:p>
        </w:tc>
        <w:tc>
          <w:tcPr>
            <w:tcW w:type="dxa" w:w="246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Frequency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s , &lt;/w&gt;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21,010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e , &lt;/w&gt;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18,403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i , n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13,447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t , &lt;/w&gt;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11,747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d , &lt;/w&gt;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11,090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e , r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10,873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t , h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10,655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n , &lt;/w&gt;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9,020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y , &lt;/w&gt;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7,525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 o , r )</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6,658</w:t>
            </w:r>
          </w:p>
        </w:tc>
      </w:tr>
    </w:tbl>
    <w:p>
      <w:pPr>
        <w:pStyle w:val="Heading2"/>
      </w:pPr>
      <w:r>
        <w:t xml:space="preserve">5.2 Top learned subwords</w:t>
      </w:r>
    </w:p>
    <w:p>
      <w:pPr>
        <w:spacing w:after="140" w:line="300"/>
      </w:pPr>
      <w:r>
        <w:t xml:space="preserve">After training, frequent whole words (“the_”, “to_”, “in_”) and morphemes (“ing_”, “ed_”) emerge as single subwords (“_” marks end-of-word).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80"/>
        <w:gridCol w:w="3680"/>
      </w:tblGrid>
      <w:tr>
        <w:tc>
          <w:tcPr>
            <w:tcW w:type="dxa" w:w="368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Subword</w:t>
            </w:r>
          </w:p>
        </w:tc>
        <w:tc>
          <w:tcPr>
            <w:tcW w:type="dxa" w:w="368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Occurrences</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the_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5,532</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to_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3,357</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in_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2,954</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of_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2,644</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ing_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2,301</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and_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2,198</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es_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2,122</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ed_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2,062</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on_</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1,987</w:t>
            </w:r>
          </w:p>
        </w:tc>
      </w:tr>
      <w:tr>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re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1,742</w:t>
            </w:r>
          </w:p>
        </w:tc>
      </w:tr>
    </w:tbl>
    <w:p>
      <w:pPr>
        <w:pStyle w:val="Heading2"/>
      </w:pPr>
      <w:r>
        <w:t xml:space="preserve">5.3 Vocabulary-size metrics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60"/>
        <w:gridCol w:w="2400"/>
        <w:gridCol w:w="1860"/>
        <w:gridCol w:w="1680"/>
      </w:tblGrid>
      <w:tr>
        <w:tc>
          <w:tcPr>
            <w:tcW w:type="dxa" w:w="156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Merges</w:t>
            </w:r>
          </w:p>
        </w:tc>
        <w:tc>
          <w:tcPr>
            <w:tcW w:type="dxa" w:w="186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Vocab size</w:t>
            </w:r>
          </w:p>
        </w:tc>
        <w:tc>
          <w:tcPr>
            <w:tcW w:type="dxa" w:w="240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Avg tokens/word</w:t>
            </w:r>
          </w:p>
        </w:tc>
        <w:tc>
          <w:tcPr>
            <w:tcW w:type="dxa" w:w="186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Single-char %</w:t>
            </w:r>
          </w:p>
        </w:tc>
        <w:tc>
          <w:tcPr>
            <w:tcW w:type="dxa" w:w="168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Avg tokens/sentence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100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137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3.363</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56.05%</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139.32</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500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534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2.348</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32.38%</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97.27</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1026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1.966</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24.13%</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81.45</w:t>
            </w:r>
          </w:p>
        </w:tc>
      </w:tr>
    </w:tbl>
    <w:p>
      <w:pPr>
        <w:spacing w:after="140" w:line="300"/>
      </w:pPr>
      <w:r>
        <w:t xml:space="preserve">Vocabulary size grows roughly with the merge count (each merge adds about one token). As it grows, the average number of tokens per word falls and the proportion of un-merged single characters drops sharply, showing more of each word is being captured by learned subwords.</w:t>
      </w:r>
    </w:p>
    <w:p>
      <w:pPr>
        <w:pStyle w:val="Heading1"/>
      </w:pPr>
      <w:r>
        <w:t xml:space="preserve">6. Applying BPE to unseen test data</w:t>
      </w:r>
    </w:p>
    <w:p>
      <w:pPr>
        <w:spacing w:after="140" w:line="300"/>
      </w:pPr>
      <w:r>
        <w:t xml:space="preserve">The trained models were applied to five held-out test sentences. Below, the heavily-fragmented 100-merge output is contrasted with the compact 1000-merge output (“_” marks end-of-word).</w:t>
      </w:r>
    </w:p>
    <w:p>
      <w:pPr>
        <w:pStyle w:val="Heading2"/>
      </w:pPr>
      <w:r>
        <w:t xml:space="preserve">Tokenized output — 100-merge model</w:t>
      </w:r>
    </w:p>
    <w:p>
      <w:pPr>
        <w:spacing w:after="140" w:line="300"/>
      </w:pPr>
      <w:r>
        <w:rPr>
          <w:b/>
          <w:bCs/>
          <w:sz w:val="19"/>
          <w:szCs w:val="19"/>
        </w:rPr>
        <w:t xml:space="preserve">Sentence 1: google could make its market debut wed reuters reuters google inc appeared set to start trading on nasdaq on wednesday after the web s no 1 search engine asked regulators on monday for final approval to price its closely watched initial public offering</w:t>
      </w:r>
    </w:p>
    <w:p>
      <w:pPr>
        <w:shd w:fill="F2EEE3" w:val="clear"/>
        <w:spacing w:after="40"/>
      </w:pPr>
      <w:r>
        <w:rPr>
          <w:rFonts w:ascii="Consolas" w:cs="Consolas" w:eastAsia="Consolas" w:hAnsi="Consolas"/>
          <w:sz w:val="18"/>
          <w:szCs w:val="18"/>
        </w:rPr>
        <w:t xml:space="preserve">g o o g le_ c ou l d_ m a k e_ it s_ m ar k e t_ de b u t_ w ed_ reuters_ reuters_ g o o g le_ in c _ ap p e a re d_ se t_ to_ st ar t_ t r ad ing_ on_ n as d a q _ on_ w ed n es day_ af t er_ the_ w e b _ s_ n o_ 1 _ se ar ch _ en g in e_ as k ed_ re g u l at or s_ on_ m on day_ for_ f in al_ ap p ro v al_ to_ pr ic e_ it s_ c lo s el y_ w at ch ed_ in i ti al_ p u b l ic _ of f er ing_</w:t>
      </w:r>
    </w:p>
    <w:p>
      <w:pPr>
        <w:spacing w:after="140" w:line="300"/>
      </w:pPr>
      <w:r>
        <w:rPr>
          <w:b/>
          <w:bCs/>
          <w:sz w:val="19"/>
          <w:szCs w:val="19"/>
        </w:rPr>
        <w:t xml:space="preserve">Sentence 2: stocks up oil price ease gives relief new york reuters u s stocks climbed on monday getting a boost from lower oil prices after venezuela s president declared he had survived a recall referendum easing fears about the country s oil exports</w:t>
      </w:r>
    </w:p>
    <w:p>
      <w:pPr>
        <w:shd w:fill="F2EEE3" w:val="clear"/>
        <w:spacing w:after="40"/>
      </w:pPr>
      <w:r>
        <w:rPr>
          <w:rFonts w:ascii="Consolas" w:cs="Consolas" w:eastAsia="Consolas" w:hAnsi="Consolas"/>
          <w:sz w:val="18"/>
          <w:szCs w:val="18"/>
        </w:rPr>
        <w:t xml:space="preserve">st o c k s_ u p_ o il _ pr ic e_ e as e_ g i v es_ re li e f _ ne w_ y or k_ reuters_ u _ s_ st o c k s_ c li m b ed_ on_ m on day_ g e t t ing_ a_ b o o s t_ f r om _ lo w er_ o il _ pr ic es_ af t er_ v en e z u el a_ s_ p re si d ent_ d ec l a re d_ h e_ h a d_ s ur v i v ed_ a_ re c al l_ re f er en d u m_ e as ing_ f e ar s_ a b ou t_ the_ c ou n t r y_ s_ o il _ e x p or ts_</w:t>
      </w:r>
    </w:p>
    <w:p>
      <w:pPr>
        <w:spacing w:after="140" w:line="300"/>
      </w:pPr>
      <w:r>
        <w:rPr>
          <w:b/>
          <w:bCs/>
          <w:sz w:val="19"/>
          <w:szCs w:val="19"/>
        </w:rPr>
        <w:t xml:space="preserve">Sentence 3: lankford accepts minor league assignment ap ap st louis cardinals outfielder ray lankford accepted a minor league assignment to triple a memphis on monday nine days after leaving the team to consider his career options</w:t>
      </w:r>
    </w:p>
    <w:p>
      <w:pPr>
        <w:shd w:fill="F2EEE3" w:val="clear"/>
        <w:spacing w:after="40"/>
      </w:pPr>
      <w:r>
        <w:rPr>
          <w:rFonts w:ascii="Consolas" w:cs="Consolas" w:eastAsia="Consolas" w:hAnsi="Consolas"/>
          <w:sz w:val="18"/>
          <w:szCs w:val="18"/>
        </w:rPr>
        <w:t xml:space="preserve">l an k f or d_ ac c e p ts_ m in or_ le ag u e_ as s ig n m ent_ a p_ a p_ s t_ l ou is_ c ar d in al s_ ou t f i el d er_ r ay_ l an k f or d_ ac c e p t ed_ a_ m in or_ le ag u e_ as s ig n m ent_ to_ t r i p le_ a_ m e m p h is_ on_ m on day_ n in e_ d a y s_ af t er_ le a v ing_ the_ t e am _ to_ c on si d er_ h is_ c a re er_ op ti on s_</w:t>
      </w:r>
    </w:p>
    <w:p>
      <w:pPr>
        <w:spacing w:after="140" w:line="300"/>
      </w:pPr>
      <w:r>
        <w:rPr>
          <w:b/>
          <w:bCs/>
          <w:sz w:val="19"/>
          <w:szCs w:val="19"/>
        </w:rPr>
        <w:t xml:space="preserve">Sentence 4: nintendo game machine gets good us start the new portable video game machine from nintendo co is selling briskly in both the united states and japan and the company is well on its way to reaching a target of selling 5 million units by april next year</w:t>
      </w:r>
    </w:p>
    <w:p>
      <w:pPr>
        <w:shd w:fill="F2EEE3" w:val="clear"/>
        <w:spacing w:after="40"/>
      </w:pPr>
      <w:r>
        <w:rPr>
          <w:rFonts w:ascii="Consolas" w:cs="Consolas" w:eastAsia="Consolas" w:hAnsi="Consolas"/>
          <w:sz w:val="18"/>
          <w:szCs w:val="18"/>
        </w:rPr>
        <w:t xml:space="preserve">n in t en d o_ g am e_ m a ch in e_ g e ts_ g o o d_ u s_ st ar t_ the_ ne w_ p or t a b le_ v i de o_ g am e_ m a ch in e_ f r om _ n in t en d o_ c o_ is_ s el l ing_ b r is k ly_ in_ b o th_ the_ un it ed_ st at es_ and_ j ap an_ and_ the_ com p an y_ is_ w el l_ on_ it s_ w ay_ to_ re a ch ing_ a_ t ar g e t_ of_ s el l ing_ 5 _ m il li on_ un it s_ b y_ a pr il _ ne x t_ y e ar _</w:t>
      </w:r>
    </w:p>
    <w:p>
      <w:pPr>
        <w:spacing w:after="140" w:line="300"/>
      </w:pPr>
      <w:r>
        <w:rPr>
          <w:b/>
          <w:bCs/>
          <w:sz w:val="19"/>
          <w:szCs w:val="19"/>
        </w:rPr>
        <w:t xml:space="preserve">Sentence 5: taking the microsoft rorschach test cnet news com s charles cooper asks what it is about microsoft that pushes so many people straight over the edge</w:t>
      </w:r>
    </w:p>
    <w:p>
      <w:pPr>
        <w:shd w:fill="F2EEE3" w:val="clear"/>
        <w:spacing w:after="40"/>
      </w:pPr>
      <w:r>
        <w:rPr>
          <w:rFonts w:ascii="Consolas" w:cs="Consolas" w:eastAsia="Consolas" w:hAnsi="Consolas"/>
          <w:sz w:val="18"/>
          <w:szCs w:val="18"/>
        </w:rPr>
        <w:t xml:space="preserve">t a k ing_ the_ m ic ro s of t_ r or s ch a ch _ t es t_ c ne t_ ne w s_ com _ s_ ch ar l es_ c o op er_ as k s_ w h at_ it_ is_ a b ou t_ m ic ro s of t_ th at_ p u sh es_ s o_ m an y_ p e op le_ st r a igh t_ o v er_ the_ ed g e_</w:t>
      </w:r>
    </w:p>
    <w:p>
      <w:pPr>
        <w:pStyle w:val="Heading2"/>
      </w:pPr>
      <w:r>
        <w:t xml:space="preserve">Tokenized output — 1000-merge model</w:t>
      </w:r>
    </w:p>
    <w:p>
      <w:pPr>
        <w:spacing w:after="140" w:line="300"/>
      </w:pPr>
      <w:r>
        <w:rPr>
          <w:b/>
          <w:bCs/>
          <w:sz w:val="19"/>
          <w:szCs w:val="19"/>
        </w:rPr>
        <w:t xml:space="preserve">Sentence 1: google could make its market debut wed reuters reuters google inc appeared set to start trading on nasdaq on wednesday after the web s no 1 search engine asked regulators on monday for final approval to price its closely watched initial public offering</w:t>
      </w:r>
    </w:p>
    <w:p>
      <w:pPr>
        <w:shd w:fill="F2EEE3" w:val="clear"/>
        <w:spacing w:after="40"/>
      </w:pPr>
      <w:r>
        <w:rPr>
          <w:rFonts w:ascii="Consolas" w:cs="Consolas" w:eastAsia="Consolas" w:hAnsi="Consolas"/>
          <w:sz w:val="18"/>
          <w:szCs w:val="18"/>
        </w:rPr>
        <w:t xml:space="preserve">google_ could_ mak e_ its_ market_ de but_ w ed_ reuters_ reuters_ google_ inc_ appe are d_ set_ to_ star t_ trad ing_ on_ n as d aq _ on_ wednesday_ after_ the_ web_ s_ no_ 1_ search_ eng ine_ as ked_ reg ul at ors_ on_ monday_ for_ final_ ap pro val_ to_ price_ its_ clo s ely_ wat ch ed_ initial_ public_ offering_</w:t>
      </w:r>
    </w:p>
    <w:p>
      <w:pPr>
        <w:spacing w:after="140" w:line="300"/>
      </w:pPr>
      <w:r>
        <w:rPr>
          <w:b/>
          <w:bCs/>
          <w:sz w:val="19"/>
          <w:szCs w:val="19"/>
        </w:rPr>
        <w:t xml:space="preserve">Sentence 2: stocks up oil price ease gives relief new york reuters u s stocks climbed on monday getting a boost from lower oil prices after venezuela s president declared he had survived a recall referendum easing fears about the country s oil exports</w:t>
      </w:r>
    </w:p>
    <w:p>
      <w:pPr>
        <w:shd w:fill="F2EEE3" w:val="clear"/>
        <w:spacing w:after="40"/>
      </w:pPr>
      <w:r>
        <w:rPr>
          <w:rFonts w:ascii="Consolas" w:cs="Consolas" w:eastAsia="Consolas" w:hAnsi="Consolas"/>
          <w:sz w:val="18"/>
          <w:szCs w:val="18"/>
        </w:rPr>
        <w:t xml:space="preserve">stocks_ up_ oil_ price_ e ase_ gi ves_ re li e f_ new_ york_ reuters_ u_ s_ stocks_ c li m b ed_ on_ monday_ ge t ting_ a_ boo st_ from_ low er_ oil_ prices_ after_ venezuel a_ s_ president_ dec l are d_ he_ had_ sur vi ved_ a_ rec all_ re fer en du m_ e as ing_ f ears_ about_ the_ country_ s_ oil_ ex por ts_</w:t>
      </w:r>
    </w:p>
    <w:p>
      <w:pPr>
        <w:spacing w:after="140" w:line="300"/>
      </w:pPr>
      <w:r>
        <w:rPr>
          <w:b/>
          <w:bCs/>
          <w:sz w:val="19"/>
          <w:szCs w:val="19"/>
        </w:rPr>
        <w:t xml:space="preserve">Sentence 3: lankford accepts minor league assignment ap ap st louis cardinals outfielder ray lankford accepted a minor league assignment to triple a memphis on monday nine days after leaving the team to consider his career options</w:t>
      </w:r>
    </w:p>
    <w:p>
      <w:pPr>
        <w:shd w:fill="F2EEE3" w:val="clear"/>
        <w:spacing w:after="40"/>
      </w:pPr>
      <w:r>
        <w:rPr>
          <w:rFonts w:ascii="Consolas" w:cs="Consolas" w:eastAsia="Consolas" w:hAnsi="Consolas"/>
          <w:sz w:val="18"/>
          <w:szCs w:val="18"/>
        </w:rPr>
        <w:t xml:space="preserve">l an k for d_ acc ep ts_ min or_ le ag ue_ ass ig n ment_ ap_ ap_ st_ l ou is_ car d in als_ out fi el der_ r ay_ l an k for d_ acc ep ted_ a_ min or_ le ag ue_ ass ig n ment_ to_ tr ip le_ a_ me mp his_ on_ monday_ n ine_ d ays_ after_ le av ing_ the_ team_ to_ con si der_ his_ c are er_ op tions_</w:t>
      </w:r>
    </w:p>
    <w:p>
      <w:pPr>
        <w:spacing w:after="140" w:line="300"/>
      </w:pPr>
      <w:r>
        <w:rPr>
          <w:b/>
          <w:bCs/>
          <w:sz w:val="19"/>
          <w:szCs w:val="19"/>
        </w:rPr>
        <w:t xml:space="preserve">Sentence 4: nintendo game machine gets good us start the new portable video game machine from nintendo co is selling briskly in both the united states and japan and the company is well on its way to reaching a target of selling 5 million units by april next year</w:t>
      </w:r>
    </w:p>
    <w:p>
      <w:pPr>
        <w:shd w:fill="F2EEE3" w:val="clear"/>
        <w:spacing w:after="40"/>
      </w:pPr>
      <w:r>
        <w:rPr>
          <w:rFonts w:ascii="Consolas" w:cs="Consolas" w:eastAsia="Consolas" w:hAnsi="Consolas"/>
          <w:sz w:val="18"/>
          <w:szCs w:val="18"/>
        </w:rPr>
        <w:t xml:space="preserve">n int en d o_ game_ ma ch ine_ ge ts_ goo d_ us_ star t_ the_ new_ por t able_ vi de o_ game_ ma ch ine_ from_ n int en d o_ co_ is_ s ell ing_ br is k ly_ in_ bo th_ the_ united_ states_ and_ jap an_ and_ the_ company_ is_ w ell_ on_ its_ way_ to_ re ach ing_ a_ target_ of_ s ell ing_ 5_ million_ un its_ by_ a pr il_ next_ year_</w:t>
      </w:r>
    </w:p>
    <w:p>
      <w:pPr>
        <w:spacing w:after="140" w:line="300"/>
      </w:pPr>
      <w:r>
        <w:rPr>
          <w:b/>
          <w:bCs/>
          <w:sz w:val="19"/>
          <w:szCs w:val="19"/>
        </w:rPr>
        <w:t xml:space="preserve">Sentence 5: taking the microsoft rorschach test cnet news com s charles cooper asks what it is about microsoft that pushes so many people straight over the edge</w:t>
      </w:r>
    </w:p>
    <w:p>
      <w:pPr>
        <w:shd w:fill="F2EEE3" w:val="clear"/>
        <w:spacing w:after="40"/>
      </w:pPr>
      <w:r>
        <w:rPr>
          <w:rFonts w:ascii="Consolas" w:cs="Consolas" w:eastAsia="Consolas" w:hAnsi="Consolas"/>
          <w:sz w:val="18"/>
          <w:szCs w:val="18"/>
        </w:rPr>
        <w:t xml:space="preserve">tak ing_ the_ microsoft_ r or sch ach_ t est_ c net_ news_ com_ s_ char les_ co op er_ as ks_ what_ it_ is_ about_ microsoft_ that_ pu sh es_ so_ many_ people_ str a ight_ over_ the_ ed ge_</w:t>
      </w:r>
    </w:p>
    <w:p>
      <w:pPr>
        <w:pStyle w:val="Heading1"/>
      </w:pPr>
      <w:r>
        <w:t xml:space="preserve">7. Analysis</w:t>
      </w:r>
    </w:p>
    <w:p>
      <w:pPr>
        <w:pStyle w:val="Heading2"/>
      </w:pPr>
      <w:r>
        <w:t xml:space="preserve">Does BPE trained on training data tokenize test data correctly?</w:t>
      </w:r>
    </w:p>
    <w:p>
      <w:pPr>
        <w:spacing w:after="140" w:line="300"/>
      </w:pPr>
      <w:r>
        <w:t xml:space="preserve">Yes. Because BPE can always fall back to characters, every test word is tokenizable. Words seen during training collapse into one or few tokens; the encoder never fails on unseen input.</w:t>
      </w:r>
    </w:p>
    <w:p>
      <w:pPr>
        <w:pStyle w:val="Heading2"/>
      </w:pPr>
      <w:r>
        <w:t xml:space="preserve">Are there unknown patterns in test data?</w:t>
      </w:r>
    </w:p>
    <w:p>
      <w:pPr>
        <w:spacing w:after="140" w:line="300"/>
      </w:pPr>
      <w:r>
        <w:t xml:space="preserve">Of 6,585 unique test words, 1,431 did not appear in training. These are not true “unknowns” — BPE splits them into known subwords and characters rather than emitting an out-of-vocabulary symbol, which is the central advantage of subword tokenization over word-level methods.</w:t>
      </w:r>
    </w:p>
    <w:p>
      <w:pPr>
        <w:pStyle w:val="Heading2"/>
      </w:pPr>
      <w:r>
        <w:t xml:space="preserve">How does vocabulary size affect tokenization on test data?</w:t>
      </w:r>
    </w:p>
    <w:p>
      <w:pPr>
        <w:pStyle w:val="ListParagraph"/>
        <w:numPr>
          <w:ilvl w:val="0"/>
          <w:numId w:val="2"/>
        </w:numPr>
        <w:spacing w:after="60"/>
      </w:pPr>
      <w:r>
        <w:t xml:space="preserve">Token length: average tokens per word fell from 3.363 (100 merges) to 1.966 (1000 merges) — sequences get shorter as the vocabulary grows.</w:t>
      </w:r>
    </w:p>
    <w:p>
      <w:pPr>
        <w:pStyle w:val="ListParagraph"/>
        <w:numPr>
          <w:ilvl w:val="0"/>
          <w:numId w:val="2"/>
        </w:numPr>
        <w:spacing w:after="60"/>
      </w:pPr>
      <w:r>
        <w:t xml:space="preserve">Handling of unseen words: smaller vocabularies break unseen words into many short pieces; larger vocabularies reuse longer learned subwords, giving more meaningful splits.</w:t>
      </w:r>
    </w:p>
    <w:p>
      <w:pPr>
        <w:pStyle w:val="ListParagraph"/>
        <w:numPr>
          <w:ilvl w:val="0"/>
          <w:numId w:val="2"/>
        </w:numPr>
        <w:spacing w:after="60"/>
      </w:pPr>
      <w:r>
        <w:t xml:space="preserve">Generalization: a small vocabulary generalizes broadly but verbosely (more single characters: 56.05%). A large vocabulary is more efficient (24.13% single characters) but risks over-fitting frequent training words. 500–1000 merges is a reasonable balance for this corpus.</w:t>
      </w:r>
    </w:p>
    <w:p>
      <w:pPr>
        <w:pStyle w:val="Heading1"/>
      </w:pPr>
      <w:r>
        <w:t xml:space="preserve">8. Vocabulary-size experiment summary</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tblGrid>
      <w:tr>
        <w:tc>
          <w:tcPr>
            <w:tcW w:type="dxa" w:w="190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Merge steps</w:t>
            </w:r>
          </w:p>
        </w:tc>
        <w:tc>
          <w:tcPr>
            <w:tcW w:type="dxa" w:w="5560"/>
            <w:tcBorders>
              <w:top w:val="single" w:color="CCCCCC" w:sz="1"/>
              <w:left w:val="single" w:color="CCCCCC" w:sz="1"/>
              <w:bottom w:val="single" w:color="CCCCCC" w:sz="1"/>
              <w:right w:val="single" w:color="CCCCCC" w:sz="1"/>
            </w:tcBorders>
            <w:shd w:fill="F1E4D8" w:val="clear"/>
            <w:tcMar>
              <w:top w:type="dxa" w:w="60"/>
              <w:left w:type="dxa" w:w="100"/>
              <w:bottom w:type="dxa" w:w="60"/>
              <w:right w:type="dxa" w:w="100"/>
            </w:tcMar>
          </w:tcPr>
          <w:p>
            <w:r>
              <w:rPr>
                <w:rFonts w:ascii="Arial" w:cs="Arial" w:eastAsia="Arial" w:hAnsi="Arial"/>
                <w:b/>
                <w:bCs/>
                <w:sz w:val="19"/>
                <w:szCs w:val="19"/>
              </w:rPr>
              <w:t xml:space="preserve">Observation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Small (100)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Vocab 137. Words heavily fragmented (~3.363 tokens/word, 56.05% single chars). Maximum generalization, longest sequences.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Medium (500)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Vocab 534. Common words and morphemes captured (~2.348 tokens/word, 32.38% single chars). Good balance.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Large (1000)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Vocab 1026. Frequent words become single tokens (~1.966 tokens/word, 24.13% single chars). Most efficient, least fragmentation.</w:t>
            </w:r>
          </w:p>
        </w:tc>
      </w:tr>
    </w:tbl>
    <w:p>
      <w:pPr>
        <w:pStyle w:val="Heading1"/>
      </w:pPr>
      <w:r>
        <w:t xml:space="preserve">9. Conclusion</w:t>
      </w:r>
    </w:p>
    <w:p>
      <w:pPr>
        <w:spacing w:after="140" w:line="300"/>
      </w:pPr>
      <w:r>
        <w:t xml:space="preserve">BPE was implemented from scratch and trained on a real corpus with a clean train/test split. The experiments confirm the expected behaviour: increasing the merge count enlarges the vocabulary, shortens token sequences, and reduces single-character fallback, while subword fallback guarantees that unseen test words remain tokenizable. The trained models are served through a FastAPI backend and an interactive React interface, turning the lab exercise into a complete, runnable tokenization tool.</w:t>
      </w:r>
    </w:p>
    <w:p>
      <w:pPr>
        <w:pStyle w:val="Heading1"/>
      </w:pPr>
      <w:r>
        <w:t xml:space="preserve">10. How to run</w:t>
      </w:r>
    </w:p>
    <w:p>
      <w:pPr>
        <w:shd w:fill="F2EEE3" w:val="clear"/>
        <w:spacing w:after="40"/>
      </w:pPr>
      <w:r>
        <w:rPr>
          <w:rFonts w:ascii="Consolas" w:cs="Consolas" w:eastAsia="Consolas" w:hAnsi="Consolas"/>
          <w:sz w:val="18"/>
          <w:szCs w:val="18"/>
        </w:rPr>
        <w:t xml:space="preserve"># Backend</w:t>
      </w:r>
    </w:p>
    <w:p>
      <w:pPr>
        <w:shd w:fill="F2EEE3" w:val="clear"/>
        <w:spacing w:after="40"/>
      </w:pPr>
      <w:r>
        <w:rPr>
          <w:rFonts w:ascii="Consolas" w:cs="Consolas" w:eastAsia="Consolas" w:hAnsi="Consolas"/>
          <w:sz w:val="18"/>
          <w:szCs w:val="18"/>
        </w:rPr>
        <w:t xml:space="preserve">cd backend &amp;&amp; pip install -r requirements.txt</w:t>
      </w:r>
    </w:p>
    <w:p>
      <w:pPr>
        <w:shd w:fill="F2EEE3" w:val="clear"/>
        <w:spacing w:after="40"/>
      </w:pPr>
      <w:r>
        <w:rPr>
          <w:rFonts w:ascii="Consolas" w:cs="Consolas" w:eastAsia="Consolas" w:hAnsi="Consolas"/>
          <w:sz w:val="18"/>
          <w:szCs w:val="18"/>
        </w:rPr>
        <w:t xml:space="preserve">python train.py          # builds models/ (already included)</w:t>
      </w:r>
    </w:p>
    <w:p>
      <w:pPr>
        <w:shd w:fill="F2EEE3" w:val="clear"/>
        <w:spacing w:after="40"/>
      </w:pPr>
      <w:r>
        <w:rPr>
          <w:rFonts w:ascii="Consolas" w:cs="Consolas" w:eastAsia="Consolas" w:hAnsi="Consolas"/>
          <w:sz w:val="18"/>
          <w:szCs w:val="18"/>
        </w:rPr>
        <w:t xml:space="preserve">uvicorn main:app --reload  # http://localhost:8000</w:t>
      </w:r>
    </w:p>
    <w:p>
      <w:pPr>
        <w:shd w:fill="F2EEE3" w:val="clear"/>
        <w:spacing w:after="40"/>
      </w:pPr>
      <w:r>
        <w:rPr>
          <w:rFonts w:ascii="Consolas" w:cs="Consolas" w:eastAsia="Consolas" w:hAnsi="Consolas"/>
          <w:sz w:val="18"/>
          <w:szCs w:val="18"/>
        </w:rPr>
        <w:t xml:space="preserve"># Frontend</w:t>
      </w:r>
    </w:p>
    <w:p>
      <w:pPr>
        <w:shd w:fill="F2EEE3" w:val="clear"/>
        <w:spacing w:after="40"/>
      </w:pPr>
      <w:r>
        <w:rPr>
          <w:rFonts w:ascii="Consolas" w:cs="Consolas" w:eastAsia="Consolas" w:hAnsi="Consolas"/>
          <w:sz w:val="18"/>
          <w:szCs w:val="18"/>
        </w:rPr>
        <w:t xml:space="preserve">cd frontend &amp;&amp; npm install &amp;&amp; npm run dev  # http://localhost:5173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BPE Tokenizer · NLP Lab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pPr>
      <w:spacing w:after="60"/>
    </w:pPr>
    <w:rPr>
      <w:rFonts w:ascii="Georgia" w:cs="Georgia" w:eastAsia="Georgia" w:hAnsi="Georgia"/>
      <w:b/>
      <w:bCs/>
      <w:color w:val="1A1714"/>
      <w:sz w:val="52"/>
      <w:szCs w:val="52"/>
    </w:rPr>
  </w:style>
  <w:style w:type="paragraph" w:styleId="Heading1">
    <w:name w:val="Heading 1"/>
    <w:basedOn w:val="Normal"/>
    <w:next w:val="Normal"/>
    <w:qFormat/>
    <w:pPr>
      <w:pBdr>
        <w:bottom w:val="single" w:color="C2410C" w:sz="8" w:space="4"/>
      </w:pBdr>
      <w:spacing w:after="160" w:before="300"/>
      <w:outlineLvl w:val="0"/>
    </w:pPr>
    <w:rPr>
      <w:rFonts w:ascii="Georgia" w:cs="Georgia" w:eastAsia="Georgia" w:hAnsi="Georgia"/>
      <w:b/>
      <w:bCs/>
      <w:color w:val="1A1714"/>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AI-23</dc:creator>
  <cp:lastModifiedBy>Un-named</cp:lastModifiedBy>
  <cp:revision>1</cp:revision>
  <dcterms:created xsi:type="dcterms:W3CDTF">2026-05-31T16:31:17.116Z</dcterms:created>
  <dcterms:modified xsi:type="dcterms:W3CDTF">2026-05-31T16:31:17.116Z</dcterms:modified>
</cp:coreProperties>
</file>

<file path=docProps/custom.xml><?xml version="1.0" encoding="utf-8"?>
<Properties xmlns="http://schemas.openxmlformats.org/officeDocument/2006/custom-properties" xmlns:vt="http://schemas.openxmlformats.org/officeDocument/2006/docPropsVTypes"/>
</file>