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pBdr>
          <w:bottom w:val="single" w:sz="6" w:space="4" w:color="1F497D"/>
        </w:pBdr>
      </w:pPr>
      <w:r>
        <w:rPr>
          <w:rFonts w:ascii="Calibri" w:hAnsi="Calibri"/>
          <w:b/>
          <w:i w:val="0"/>
          <w:color w:val="1F497D"/>
          <w:sz w:val="36"/>
        </w:rPr>
        <w:t>Response to EUC Leadership Feedback</w:t>
      </w:r>
    </w:p>
    <w:p>
      <w:pPr>
        <w:spacing w:after="40" w:before="0"/>
      </w:pPr>
      <w:r>
        <w:rPr>
          <w:rFonts w:ascii="Calibri" w:hAnsi="Calibri"/>
          <w:b w:val="0"/>
          <w:i/>
          <w:color w:val="606060"/>
          <w:sz w:val="22"/>
        </w:rPr>
        <w:t>Software Delivery Automation Initiative</w:t>
      </w:r>
    </w:p>
    <w:p>
      <w:pPr>
        <w:spacing w:after="320" w:before="0"/>
      </w:pPr>
      <w:r>
        <w:rPr>
          <w:rFonts w:ascii="Calibri" w:hAnsi="Calibri"/>
          <w:b/>
          <w:i/>
          <w:color w:val="C05020"/>
          <w:sz w:val="20"/>
        </w:rPr>
        <w:t>DRAFT — For collaborative review before sending</w:t>
      </w:r>
    </w:p>
    <w:p>
      <w:pPr>
        <w:spacing w:after="160" w:before="0"/>
      </w:pPr>
      <w:r>
        <w:rPr>
          <w:rFonts w:ascii="Calibri" w:hAnsi="Calibri"/>
          <w:b w:val="0"/>
          <w:i w:val="0"/>
          <w:sz w:val="22"/>
        </w:rPr>
        <w:t>Hi [Name / Team],</w:t>
      </w:r>
    </w:p>
    <w:p>
      <w:pPr>
        <w:spacing w:after="120" w:before="0"/>
      </w:pPr>
      <w:r>
        <w:rPr>
          <w:rFonts w:ascii="Calibri" w:hAnsi="Calibri"/>
          <w:b w:val="0"/>
          <w:i w:val="0"/>
          <w:sz w:val="22"/>
        </w:rPr>
        <w:t>Thank you for this feedback — and more importantly, for the candour behind it. We have been sharing design documents, architecture decisions, and progress updates throughout this initiative, and your consolidated review gives us exactly the kind of structured input we need to make sure we are solving the right problems in the right order. The goal of this response is not to defend what has been built — it is to share where we are, be transparent about a pivot we are proposing, and identify where we genuinely need to work through decisions together.</w:t>
      </w:r>
    </w:p>
    <w:p>
      <w:pPr>
        <w:spacing w:after="280" w:before="0"/>
      </w:pPr>
      <w:r>
        <w:rPr>
          <w:rFonts w:ascii="Calibri" w:hAnsi="Calibri"/>
          <w:b w:val="0"/>
          <w:i w:val="0"/>
          <w:sz w:val="22"/>
        </w:rPr>
        <w:t>We will address each of the four areas you raised directly.</w:t>
      </w:r>
    </w:p>
    <w:p>
      <w:pPr>
        <w:spacing w:before="280" w:after="80"/>
      </w:pPr>
      <w:r>
        <w:rPr>
          <w:rFonts w:ascii="Calibri" w:hAnsi="Calibri"/>
          <w:b/>
          <w:i w:val="0"/>
          <w:color w:val="276FBF"/>
          <w:sz w:val="26"/>
        </w:rPr>
        <w:t>1.  The request and intake experience — we agree this is the priority</w:t>
      </w:r>
    </w:p>
    <w:p>
      <w:pPr>
        <w:spacing w:after="160" w:before="0"/>
      </w:pPr>
      <w:r>
        <w:rPr>
          <w:rFonts w:ascii="Calibri" w:hAnsi="Calibri"/>
          <w:b w:val="0"/>
          <w:i w:val="0"/>
          <w:sz w:val="22"/>
        </w:rPr>
        <w:t>Your framing is exactly right, and it is worth being explicit about why this problem is harder than it looks.</w:t>
      </w:r>
    </w:p>
    <w:p>
      <w:pPr>
        <w:spacing w:after="120" w:before="0"/>
      </w:pPr>
      <w:r>
        <w:rPr>
          <w:rFonts w:ascii="Calibri" w:hAnsi="Calibri"/>
          <w:b/>
          <w:i w:val="0"/>
          <w:sz w:val="22"/>
        </w:rPr>
        <w:t>The current state is broken in a structural way.</w:t>
      </w:r>
      <w:r>
        <w:rPr>
          <w:rFonts w:ascii="Calibri" w:hAnsi="Calibri"/>
          <w:b w:val="0"/>
          <w:i w:val="0"/>
          <w:sz w:val="22"/>
        </w:rPr>
        <w:t xml:space="preserve"> Today, the software approval process relies on two static SharePoint lists — one for approved software, one for denied — that are entirely disconnected from the request and intake workflow, disconnected from packages created by packagers, and disconnected from what is actually published and assigned in Intune. There are no naming standards, no versioning, and no reliable way to relate a given package to the title that was approved, the request that triggered it, or the assignment that was deployed. As a result:</w:t>
      </w:r>
    </w:p>
    <w:p>
      <w:pPr>
        <w:pStyle w:val="ListBullet"/>
        <w:spacing w:after="80" w:before="0"/>
        <w:ind w:left="360"/>
      </w:pPr>
      <w:r>
        <w:rPr>
          <w:rFonts w:ascii="Calibri" w:hAnsi="Calibri"/>
          <w:b w:val="0"/>
          <w:i w:val="0"/>
          <w:sz w:val="22"/>
        </w:rPr>
        <w:t>Users submit requests for software that is already packaged and available, with no visibility at the point of request</w:t>
      </w:r>
    </w:p>
    <w:p>
      <w:pPr>
        <w:pStyle w:val="ListBullet"/>
        <w:spacing w:after="80" w:before="0"/>
        <w:ind w:left="360"/>
      </w:pPr>
      <w:r>
        <w:rPr>
          <w:rFonts w:ascii="Calibri" w:hAnsi="Calibri"/>
          <w:b w:val="0"/>
          <w:i w:val="0"/>
          <w:sz w:val="22"/>
        </w:rPr>
        <w:t>Requests arrive for denied software without the requestor knowing it was ever denied</w:t>
      </w:r>
    </w:p>
    <w:p>
      <w:pPr>
        <w:pStyle w:val="ListBullet"/>
        <w:spacing w:after="80" w:before="0"/>
        <w:ind w:left="360"/>
      </w:pPr>
      <w:r>
        <w:rPr>
          <w:rFonts w:ascii="Calibri" w:hAnsi="Calibri"/>
          <w:b w:val="0"/>
          <w:i w:val="0"/>
          <w:sz w:val="22"/>
        </w:rPr>
        <w:t>Packagers have no authoritative source to validate what they are being asked to build</w:t>
      </w:r>
    </w:p>
    <w:p>
      <w:pPr>
        <w:pStyle w:val="ListBullet"/>
        <w:spacing w:after="80" w:before="0"/>
        <w:ind w:left="360"/>
      </w:pPr>
      <w:r>
        <w:rPr>
          <w:rFonts w:ascii="Calibri" w:hAnsi="Calibri"/>
          <w:b w:val="0"/>
          <w:i w:val="0"/>
          <w:sz w:val="22"/>
        </w:rPr>
        <w:t>There is no single record that tracks a title from approval → packaging → publishing → assignment</w:t>
      </w:r>
    </w:p>
    <w:p/>
    <w:p>
      <w:pPr>
        <w:spacing w:after="280" w:before="0"/>
      </w:pPr>
      <w:r>
        <w:rPr>
          <w:rFonts w:ascii="Calibri" w:hAnsi="Calibri"/>
          <w:b w:val="0"/>
          <w:i w:val="0"/>
          <w:sz w:val="22"/>
        </w:rPr>
        <w:t xml:space="preserve">Establishing an </w:t>
      </w:r>
      <w:r>
        <w:rPr>
          <w:rFonts w:ascii="Calibri" w:hAnsi="Calibri"/>
          <w:b/>
          <w:i w:val="0"/>
          <w:sz w:val="22"/>
        </w:rPr>
        <w:t>authoritative, integrated software list</w:t>
      </w:r>
      <w:r>
        <w:rPr>
          <w:rFonts w:ascii="Calibri" w:hAnsi="Calibri"/>
          <w:b w:val="0"/>
          <w:i w:val="0"/>
          <w:sz w:val="22"/>
        </w:rPr>
        <w:t xml:space="preserve"> — one that manages approval state, packaging state, and publishing state as a single record of truth — is one of the foundational problems this initiative set out to solve. Everything else depends on it.</w:t>
      </w:r>
    </w:p>
    <w:p>
      <w:pPr>
        <w:spacing w:before="280" w:after="80"/>
      </w:pPr>
      <w:r>
        <w:rPr>
          <w:rFonts w:ascii="Calibri" w:hAnsi="Calibri"/>
          <w:b/>
          <w:i w:val="0"/>
          <w:color w:val="276FBF"/>
          <w:sz w:val="26"/>
        </w:rPr>
        <w:t>2.  The intake portal — more progress than you may realize, and a pivot we want to discuss</w:t>
      </w:r>
    </w:p>
    <w:p>
      <w:pPr>
        <w:spacing w:after="160" w:before="0"/>
      </w:pPr>
      <w:r>
        <w:rPr>
          <w:rFonts w:ascii="Calibri" w:hAnsi="Calibri"/>
          <w:b w:val="0"/>
          <w:i w:val="0"/>
          <w:sz w:val="22"/>
        </w:rPr>
        <w:t>We want to be transparent about where we are and where we are headed.</w:t>
      </w:r>
    </w:p>
    <w:p>
      <w:pPr>
        <w:spacing w:after="160" w:before="0"/>
      </w:pPr>
      <w:r>
        <w:rPr>
          <w:rFonts w:ascii="Calibri" w:hAnsi="Calibri"/>
          <w:b w:val="0"/>
          <w:i w:val="0"/>
          <w:sz w:val="22"/>
        </w:rPr>
        <w:t>The ServiceNow team has confirmed they are unable to deliver the required software catalog functionality within the timeframe we need. A catalog that is version-aware, connected to the request workflow, and integrated with packaging and publishing state is not something ServiceNow can provide on the required timeline.</w:t>
      </w:r>
    </w:p>
    <w:p>
      <w:pPr>
        <w:spacing w:after="160" w:before="0"/>
      </w:pPr>
      <w:r>
        <w:rPr>
          <w:rFonts w:ascii="Calibri" w:hAnsi="Calibri"/>
          <w:b w:val="0"/>
          <w:i w:val="0"/>
          <w:sz w:val="22"/>
        </w:rPr>
        <w:t xml:space="preserve">However — and this is important context — </w:t>
      </w:r>
      <w:r>
        <w:rPr>
          <w:rFonts w:ascii="Calibri" w:hAnsi="Calibri"/>
          <w:b/>
          <w:i w:val="0"/>
          <w:sz w:val="22"/>
        </w:rPr>
        <w:t>we have not been waiting on ServiceNow to do the work</w:t>
      </w:r>
      <w:r>
        <w:rPr>
          <w:rFonts w:ascii="Calibri" w:hAnsi="Calibri"/>
          <w:b w:val="0"/>
          <w:i w:val="0"/>
          <w:sz w:val="22"/>
        </w:rPr>
        <w:t>. The SPA intake portal is already built. We developed it with a stubbed backend API specifically designed to be wired to a governance and catalog layer once that layer was confirmed. The front-end experience — the request form, the catalog validation flow, the packager workbench pre-population — is functional today. What remains is connecting it to the right data source and workflow engine.</w:t>
      </w:r>
    </w:p>
    <w:p>
      <w:pPr>
        <w:spacing w:after="120" w:before="0"/>
      </w:pPr>
      <w:r>
        <w:rPr>
          <w:rFonts w:ascii="Calibri" w:hAnsi="Calibri"/>
          <w:b w:val="0"/>
          <w:i w:val="0"/>
          <w:sz w:val="22"/>
        </w:rPr>
        <w:t xml:space="preserve">Given the ServiceNow constraint, we are proposing a pivot to the </w:t>
      </w:r>
      <w:r>
        <w:rPr>
          <w:rFonts w:ascii="Calibri" w:hAnsi="Calibri"/>
          <w:b/>
          <w:i w:val="0"/>
          <w:sz w:val="22"/>
        </w:rPr>
        <w:t>Microsoft 365 ecosystem</w:t>
      </w:r>
      <w:r>
        <w:rPr>
          <w:rFonts w:ascii="Calibri" w:hAnsi="Calibri"/>
          <w:b w:val="0"/>
          <w:i w:val="0"/>
          <w:sz w:val="22"/>
        </w:rPr>
        <w:t>: Microsoft Teams and Power Automate for the governance workflows, with SharePoint (or a similar structured store) as the software catalog data layer. This approach:</w:t>
      </w:r>
    </w:p>
    <w:p>
      <w:pPr>
        <w:pStyle w:val="ListBullet"/>
        <w:spacing w:after="80" w:before="0"/>
        <w:ind w:left="360"/>
      </w:pPr>
      <w:r>
        <w:rPr>
          <w:rFonts w:ascii="Calibri" w:hAnsi="Calibri"/>
          <w:b w:val="0"/>
          <w:i w:val="0"/>
          <w:sz w:val="22"/>
        </w:rPr>
        <w:t>Keeps the solution in the tools your teams already use every day</w:t>
      </w:r>
    </w:p>
    <w:p>
      <w:pPr>
        <w:pStyle w:val="ListBullet"/>
        <w:spacing w:after="80" w:before="0"/>
        <w:ind w:left="360"/>
      </w:pPr>
      <w:r>
        <w:rPr>
          <w:rFonts w:ascii="Calibri" w:hAnsi="Calibri"/>
          <w:b w:val="0"/>
          <w:i w:val="0"/>
          <w:sz w:val="22"/>
        </w:rPr>
        <w:t>Lets us build approval routing, ASL/DSL logic, and packaging state tracking without waiting on a ServiceNow delivery timeline</w:t>
      </w:r>
    </w:p>
    <w:p>
      <w:pPr>
        <w:pStyle w:val="ListBullet"/>
        <w:spacing w:after="80" w:before="0"/>
        <w:ind w:left="360"/>
      </w:pPr>
      <w:r>
        <w:rPr>
          <w:rFonts w:ascii="Calibri" w:hAnsi="Calibri"/>
          <w:b w:val="0"/>
          <w:i w:val="0"/>
          <w:sz w:val="22"/>
        </w:rPr>
        <w:t>Gives EUC direct visibility and ownership of the request experience</w:t>
      </w:r>
    </w:p>
    <w:p>
      <w:pPr>
        <w:pStyle w:val="ListBullet"/>
        <w:spacing w:after="80" w:before="0"/>
        <w:ind w:left="360"/>
      </w:pPr>
      <w:r>
        <w:rPr>
          <w:rFonts w:ascii="Calibri" w:hAnsi="Calibri"/>
          <w:b w:val="0"/>
          <w:i w:val="0"/>
          <w:sz w:val="22"/>
        </w:rPr>
        <w:t>Means the intake portal we have already built is the front-end — we are wiring it to the right back-end, not starting over</w:t>
      </w:r>
    </w:p>
    <w:p/>
    <w:p>
      <w:pPr>
        <w:spacing w:after="160" w:before="0"/>
      </w:pPr>
      <w:r>
        <w:rPr>
          <w:rFonts w:ascii="Calibri" w:hAnsi="Calibri"/>
          <w:b w:val="0"/>
          <w:i w:val="0"/>
          <w:sz w:val="22"/>
        </w:rPr>
        <w:t xml:space="preserve">There are a few integration patterns worth evaluating together — for example, whether the catalog lives in a SharePoint List with Power Automate triggers, a Dataverse table connected to Teams, or a lightweight API behind the portal that aggregates from multiple Microsoft sources. We do not want to decide this unilaterally. </w:t>
      </w:r>
      <w:r>
        <w:rPr>
          <w:rFonts w:ascii="Calibri" w:hAnsi="Calibri"/>
          <w:b/>
          <w:i w:val="0"/>
          <w:sz w:val="22"/>
        </w:rPr>
        <w:t>We would like to schedule a working session specifically to walk through the options and land on the right approach together.</w:t>
      </w:r>
    </w:p>
    <w:p>
      <w:pPr>
        <w:spacing w:after="280" w:before="0"/>
      </w:pPr>
      <w:r>
        <w:rPr>
          <w:rFonts w:ascii="Calibri" w:hAnsi="Calibri"/>
          <w:b w:val="0"/>
          <w:i w:val="0"/>
          <w:sz w:val="22"/>
        </w:rPr>
        <w:t>The scenarios you asked to see — catalog validation at intake, the experience when software is already packaged, the denied software path, the net-new workflow, manual step removal — remain the design intent. The intake portal already demonstrates most of these. What we need to align on is how we connect it to live data.</w:t>
      </w:r>
    </w:p>
    <w:p>
      <w:pPr>
        <w:spacing w:before="280" w:after="80"/>
      </w:pPr>
      <w:r>
        <w:rPr>
          <w:rFonts w:ascii="Calibri" w:hAnsi="Calibri"/>
          <w:b/>
          <w:i w:val="0"/>
          <w:color w:val="276FBF"/>
          <w:sz w:val="26"/>
        </w:rPr>
        <w:t>3.  Supportability and operational model of the packaging factory</w:t>
      </w:r>
    </w:p>
    <w:p>
      <w:pPr>
        <w:spacing w:after="160" w:before="0"/>
      </w:pPr>
      <w:r>
        <w:rPr>
          <w:rFonts w:ascii="Calibri" w:hAnsi="Calibri"/>
          <w:b w:val="0"/>
          <w:i w:val="0"/>
          <w:sz w:val="22"/>
        </w:rPr>
        <w:t>We understand the concern and want to address it honestly.</w:t>
      </w:r>
    </w:p>
    <w:p>
      <w:pPr>
        <w:spacing w:after="120" w:before="0"/>
      </w:pPr>
      <w:r>
        <w:rPr>
          <w:rFonts w:ascii="Calibri" w:hAnsi="Calibri"/>
          <w:b w:val="0"/>
          <w:i w:val="0"/>
          <w:sz w:val="22"/>
        </w:rPr>
        <w:t>The packaging automation — the GitLab pipelines, the packaging workbench, the PSADT framework, and the Intune/Jamf deployment modules — is built on standard, documented, industry-used components. None of the core packaging tooling is bespoke:</w:t>
      </w:r>
    </w:p>
    <w:p>
      <w:pPr>
        <w:pStyle w:val="ListBullet"/>
        <w:spacing w:after="80" w:before="0"/>
        <w:ind w:left="360"/>
      </w:pPr>
      <w:r>
        <w:rPr>
          <w:rFonts w:ascii="Calibri" w:hAnsi="Calibri"/>
          <w:b w:val="0"/>
          <w:i w:val="0"/>
          <w:sz w:val="22"/>
        </w:rPr>
        <w:t>PSADT is an open-source industry standard — not a custom framework we built</w:t>
      </w:r>
    </w:p>
    <w:p>
      <w:pPr>
        <w:pStyle w:val="ListBullet"/>
        <w:spacing w:after="80" w:before="0"/>
        <w:ind w:left="360"/>
      </w:pPr>
      <w:r>
        <w:rPr>
          <w:rFonts w:ascii="Calibri" w:hAnsi="Calibri"/>
          <w:b w:val="0"/>
          <w:i w:val="0"/>
          <w:sz w:val="22"/>
        </w:rPr>
        <w:t>GitLab CI templates follow standard YAML conventions and are versioned and documented</w:t>
      </w:r>
    </w:p>
    <w:p>
      <w:pPr>
        <w:pStyle w:val="ListBullet"/>
        <w:spacing w:after="80" w:before="0"/>
        <w:ind w:left="360"/>
      </w:pPr>
      <w:r>
        <w:rPr>
          <w:rFonts w:ascii="Calibri" w:hAnsi="Calibri"/>
          <w:b w:val="0"/>
          <w:i w:val="0"/>
          <w:sz w:val="22"/>
        </w:rPr>
        <w:t>Microsoft Graph API is the Microsoft-supported path for Intune automation</w:t>
      </w:r>
    </w:p>
    <w:p>
      <w:pPr>
        <w:pStyle w:val="ListBullet"/>
        <w:spacing w:after="80" w:before="0"/>
        <w:ind w:left="360"/>
      </w:pPr>
      <w:r>
        <w:rPr>
          <w:rFonts w:ascii="Calibri" w:hAnsi="Calibri"/>
          <w:b w:val="0"/>
          <w:i w:val="0"/>
          <w:sz w:val="22"/>
        </w:rPr>
        <w:t>Terraform + Jamf Pro provider is a maintained, community-standard integration</w:t>
      </w:r>
    </w:p>
    <w:p/>
    <w:p>
      <w:pPr>
        <w:spacing w:after="120" w:before="0"/>
      </w:pPr>
      <w:r>
        <w:rPr>
          <w:rFonts w:ascii="Calibri" w:hAnsi="Calibri"/>
          <w:b w:val="0"/>
          <w:i w:val="0"/>
          <w:sz w:val="22"/>
        </w:rPr>
        <w:t>On your specific questions:</w:t>
      </w:r>
    </w:p>
    <w:tbl>
      <w:tblPr>
        <w:tblStyle w:val="TableGrid"/>
        <w:tblW w:type="auto" w:w="0"/>
        <w:tblLook w:firstColumn="1" w:firstRow="1" w:lastColumn="0" w:lastRow="0" w:noHBand="0" w:noVBand="1" w:val="04A0"/>
      </w:tblPr>
      <w:tblGrid>
        <w:gridCol w:w="3600"/>
        <w:gridCol w:w="5760"/>
      </w:tblGrid>
      <w:tr>
        <w:tc>
          <w:tcPr>
            <w:tcW w:type="dxa" w:w="4320"/>
          </w:tcPr>
          <w:p/>
        </w:tc>
        <w:tc>
          <w:tcPr>
            <w:tcW w:type="dxa" w:w="4320"/>
          </w:tcPr>
          <w:p/>
        </w:tc>
      </w:tr>
      <w:tr>
        <w:tc>
          <w:tcPr>
            <w:tcW w:type="dxa" w:w="3600"/>
            <w:shd w:fill="1F497D" w:val="clear"/>
          </w:tcPr>
          <w:p>
            <w:r/>
            <w:r>
              <w:rPr>
                <w:rFonts w:ascii="Calibri" w:hAnsi="Calibri"/>
                <w:b/>
                <w:i w:val="0"/>
                <w:color w:val="FFFFFF"/>
                <w:sz w:val="20"/>
              </w:rPr>
              <w:t>Question</w:t>
            </w:r>
          </w:p>
        </w:tc>
        <w:tc>
          <w:tcPr>
            <w:tcW w:type="dxa" w:w="5760"/>
            <w:shd w:fill="1F497D" w:val="clear"/>
          </w:tcPr>
          <w:p>
            <w:r/>
            <w:r>
              <w:rPr>
                <w:rFonts w:ascii="Calibri" w:hAnsi="Calibri"/>
                <w:b/>
                <w:i w:val="0"/>
                <w:color w:val="FFFFFF"/>
                <w:sz w:val="20"/>
              </w:rPr>
              <w:t>Where we are</w:t>
            </w:r>
          </w:p>
        </w:tc>
      </w:tr>
      <w:tr>
        <w:tc>
          <w:tcPr>
            <w:tcW w:type="dxa" w:w="3600"/>
          </w:tcPr>
          <w:p>
            <w:r/>
            <w:r>
              <w:rPr>
                <w:rFonts w:ascii="Calibri" w:hAnsi="Calibri"/>
                <w:b w:val="0"/>
                <w:i w:val="0"/>
                <w:sz w:val="20"/>
              </w:rPr>
              <w:t>Support model post-implementation</w:t>
            </w:r>
          </w:p>
        </w:tc>
        <w:tc>
          <w:tcPr>
            <w:tcW w:type="dxa" w:w="5760"/>
          </w:tcPr>
          <w:p>
            <w:r/>
            <w:r>
              <w:rPr>
                <w:rFonts w:ascii="Calibri" w:hAnsi="Calibri"/>
                <w:b w:val="0"/>
                <w:i w:val="0"/>
                <w:sz w:val="20"/>
              </w:rPr>
              <w:t>The platform is designed for EUC packagers to operate day-to-day. Templates, schemas, and the workbench are documented. A structured knowledge transfer plan is part of our close-out scope.</w:t>
            </w:r>
          </w:p>
        </w:tc>
      </w:tr>
      <w:tr>
        <w:tc>
          <w:tcPr>
            <w:tcW w:type="dxa" w:w="3600"/>
          </w:tcPr>
          <w:p>
            <w:r/>
            <w:r>
              <w:rPr>
                <w:rFonts w:ascii="Calibri" w:hAnsi="Calibri"/>
                <w:b w:val="0"/>
                <w:i w:val="0"/>
                <w:sz w:val="20"/>
              </w:rPr>
              <w:t>Documentation</w:t>
            </w:r>
          </w:p>
        </w:tc>
        <w:tc>
          <w:tcPr>
            <w:tcW w:type="dxa" w:w="5760"/>
          </w:tcPr>
          <w:p>
            <w:r/>
            <w:r>
              <w:rPr>
                <w:rFonts w:ascii="Calibri" w:hAnsi="Calibri"/>
                <w:b w:val="0"/>
                <w:i w:val="0"/>
                <w:sz w:val="20"/>
              </w:rPr>
              <w:t>Design document, integration guide, workbench user guide, and schema reference already exist. We can define a KT plan together.</w:t>
            </w:r>
          </w:p>
        </w:tc>
      </w:tr>
      <w:tr>
        <w:tc>
          <w:tcPr>
            <w:tcW w:type="dxa" w:w="3600"/>
          </w:tcPr>
          <w:p>
            <w:r/>
            <w:r>
              <w:rPr>
                <w:rFonts w:ascii="Calibri" w:hAnsi="Calibri"/>
                <w:b w:val="0"/>
                <w:i w:val="0"/>
                <w:sz w:val="20"/>
              </w:rPr>
              <w:t>Ongoing maintenance</w:t>
            </w:r>
          </w:p>
        </w:tc>
        <w:tc>
          <w:tcPr>
            <w:tcW w:type="dxa" w:w="5760"/>
          </w:tcPr>
          <w:p>
            <w:r/>
            <w:r>
              <w:rPr>
                <w:rFonts w:ascii="Calibri" w:hAnsi="Calibri"/>
                <w:b w:val="0"/>
                <w:i w:val="0"/>
                <w:sz w:val="20"/>
              </w:rPr>
              <w:t>Framework components are independently versioned. Title repos pin to specific versions. There is no monolithic upgrade — individual components can be updated independently.</w:t>
            </w:r>
          </w:p>
        </w:tc>
      </w:tr>
      <w:tr>
        <w:tc>
          <w:tcPr>
            <w:tcW w:type="dxa" w:w="3600"/>
          </w:tcPr>
          <w:p>
            <w:r/>
            <w:r>
              <w:rPr>
                <w:rFonts w:ascii="Calibri" w:hAnsi="Calibri"/>
                <w:b w:val="0"/>
                <w:i w:val="0"/>
                <w:sz w:val="20"/>
              </w:rPr>
              <w:t>Ownership post-transition</w:t>
            </w:r>
          </w:p>
        </w:tc>
        <w:tc>
          <w:tcPr>
            <w:tcW w:type="dxa" w:w="5760"/>
          </w:tcPr>
          <w:p>
            <w:r/>
            <w:r>
              <w:rPr>
                <w:rFonts w:ascii="Calibri" w:hAnsi="Calibri"/>
                <w:b w:val="0"/>
                <w:i w:val="0"/>
                <w:sz w:val="20"/>
              </w:rPr>
              <w:t>We do not want to define this unilaterally. We have a point of view and are ready to discuss it with EUC leadership and platform engineering.</w:t>
            </w:r>
          </w:p>
        </w:tc>
      </w:tr>
      <w:tr>
        <w:tc>
          <w:tcPr>
            <w:tcW w:type="dxa" w:w="3600"/>
          </w:tcPr>
          <w:p>
            <w:r/>
            <w:r>
              <w:rPr>
                <w:rFonts w:ascii="Calibri" w:hAnsi="Calibri"/>
                <w:b w:val="0"/>
                <w:i w:val="0"/>
                <w:sz w:val="20"/>
              </w:rPr>
              <w:t>Troubleshooting</w:t>
            </w:r>
          </w:p>
        </w:tc>
        <w:tc>
          <w:tcPr>
            <w:tcW w:type="dxa" w:w="5760"/>
          </w:tcPr>
          <w:p>
            <w:r/>
            <w:r>
              <w:rPr>
                <w:rFonts w:ascii="Calibri" w:hAnsi="Calibri"/>
                <w:b w:val="0"/>
                <w:i w:val="0"/>
                <w:sz w:val="20"/>
              </w:rPr>
              <w:t>Pipeline failures produce structured logs. Schema validation surfaces configuration errors before packaging runs. We can document runbooks together.</w:t>
            </w:r>
          </w:p>
        </w:tc>
      </w:tr>
    </w:tbl>
    <w:p/>
    <w:p>
      <w:pPr>
        <w:spacing w:after="280" w:before="0"/>
      </w:pPr>
      <w:r>
        <w:rPr>
          <w:rFonts w:ascii="Calibri" w:hAnsi="Calibri"/>
          <w:b w:val="0"/>
          <w:i w:val="0"/>
          <w:sz w:val="22"/>
        </w:rPr>
        <w:t xml:space="preserve">We also want to acknowledge your point that </w:t>
      </w:r>
      <w:r>
        <w:rPr>
          <w:rFonts w:ascii="Calibri" w:hAnsi="Calibri"/>
          <w:b/>
          <w:i w:val="0"/>
          <w:sz w:val="22"/>
        </w:rPr>
        <w:t>packaging execution is not the primary bottleneck</w:t>
      </w:r>
      <w:r>
        <w:rPr>
          <w:rFonts w:ascii="Calibri" w:hAnsi="Calibri"/>
          <w:b w:val="0"/>
          <w:i w:val="0"/>
          <w:sz w:val="22"/>
        </w:rPr>
        <w:t>. We agree. The pipeline's value is in standardization — every title built the same way, validated against the same schemas, with consistent detection and deployment patterns — and in connecting packaging state back to the authoritative software list. Cycle time improvements will primarily come from the intake and catalog changes, not from packaging speed.</w:t>
      </w:r>
    </w:p>
    <w:p>
      <w:pPr>
        <w:spacing w:before="280" w:after="80"/>
      </w:pPr>
      <w:r>
        <w:rPr>
          <w:rFonts w:ascii="Calibri" w:hAnsi="Calibri"/>
          <w:b/>
          <w:i w:val="0"/>
          <w:color w:val="276FBF"/>
          <w:sz w:val="26"/>
        </w:rPr>
        <w:t>4.  Target-state operating model — let's build this together</w:t>
      </w:r>
    </w:p>
    <w:p>
      <w:pPr>
        <w:spacing w:after="120" w:before="0"/>
      </w:pPr>
      <w:r>
        <w:rPr>
          <w:rFonts w:ascii="Calibri" w:hAnsi="Calibri"/>
          <w:b w:val="0"/>
          <w:i w:val="0"/>
          <w:sz w:val="22"/>
        </w:rPr>
        <w:t>This is the area where we do not yet have a complete picture, and where we cannot produce one without you. We do not have a side-by-side view of what the current process looks like step-by-step versus what the future state removes or reduces — and that gap needs to be closed jointly.</w:t>
      </w:r>
    </w:p>
    <w:p>
      <w:pPr>
        <w:spacing w:after="120" w:before="0"/>
      </w:pPr>
      <w:r>
        <w:rPr>
          <w:rFonts w:ascii="Calibri" w:hAnsi="Calibri"/>
          <w:b w:val="0"/>
          <w:i w:val="0"/>
          <w:sz w:val="22"/>
        </w:rPr>
        <w:t>Here is what we do know:</w:t>
      </w:r>
    </w:p>
    <w:p>
      <w:pPr>
        <w:pStyle w:val="ListBullet"/>
        <w:spacing w:after="80" w:before="0"/>
        <w:ind w:left="360"/>
      </w:pPr>
      <w:r>
        <w:rPr>
          <w:rFonts w:ascii="Calibri" w:hAnsi="Calibri"/>
          <w:b/>
          <w:i w:val="0"/>
          <w:sz w:val="22"/>
        </w:rPr>
        <w:t>What is being automated or removed:</w:t>
      </w:r>
      <w:r>
        <w:rPr>
          <w:rFonts w:ascii="Calibri" w:hAnsi="Calibri"/>
          <w:b w:val="0"/>
          <w:i w:val="0"/>
          <w:sz w:val="22"/>
        </w:rPr>
        <w:t xml:space="preserve"> Intake re-entry, manual catalog lookups, duplicate request discovery, packaging file scaffolding from scratch, manual status tracking, PSADT v3 → v4 migration for existing titles</w:t>
      </w:r>
    </w:p>
    <w:p>
      <w:pPr>
        <w:pStyle w:val="ListBullet"/>
        <w:spacing w:after="80" w:before="0"/>
        <w:ind w:left="360"/>
      </w:pPr>
      <w:r>
        <w:rPr>
          <w:rFonts w:ascii="Calibri" w:hAnsi="Calibri"/>
          <w:b/>
          <w:i w:val="0"/>
          <w:sz w:val="22"/>
        </w:rPr>
        <w:t>Which teams will see reduced effort:</w:t>
      </w:r>
      <w:r>
        <w:rPr>
          <w:rFonts w:ascii="Calibri" w:hAnsi="Calibri"/>
          <w:b w:val="0"/>
          <w:i w:val="0"/>
          <w:sz w:val="22"/>
        </w:rPr>
        <w:t xml:space="preserve"> EUC coordinators spend less time routing and chasing status. Packagers spend less time on boilerplate and repetitive configuration. The degree of change for HCL is a conversation we need to have together.</w:t>
      </w:r>
    </w:p>
    <w:p>
      <w:pPr>
        <w:pStyle w:val="ListBullet"/>
        <w:spacing w:after="80" w:before="0"/>
        <w:ind w:left="360"/>
      </w:pPr>
      <w:r>
        <w:rPr>
          <w:rFonts w:ascii="Calibri" w:hAnsi="Calibri"/>
          <w:b/>
          <w:i w:val="0"/>
          <w:sz w:val="22"/>
        </w:rPr>
        <w:t>Cycle time reduction:</w:t>
      </w:r>
      <w:r>
        <w:rPr>
          <w:rFonts w:ascii="Calibri" w:hAnsi="Calibri"/>
          <w:b w:val="0"/>
          <w:i w:val="0"/>
          <w:sz w:val="22"/>
        </w:rPr>
        <w:t xml:space="preserve"> We cannot put a number on this without baselining the current process. We would like to do that exercise jointly — walk through a real request from submission to assignment and time each step.</w:t>
      </w:r>
    </w:p>
    <w:p>
      <w:pPr>
        <w:pStyle w:val="ListBullet"/>
        <w:spacing w:after="80" w:before="0"/>
        <w:ind w:left="360"/>
      </w:pPr>
      <w:r>
        <w:rPr>
          <w:rFonts w:ascii="Calibri" w:hAnsi="Calibri"/>
          <w:b/>
          <w:i w:val="0"/>
          <w:sz w:val="22"/>
        </w:rPr>
        <w:t>Business outcomes:</w:t>
      </w:r>
      <w:r>
        <w:rPr>
          <w:rFonts w:ascii="Calibri" w:hAnsi="Calibri"/>
          <w:b w:val="0"/>
          <w:i w:val="0"/>
          <w:sz w:val="22"/>
        </w:rPr>
        <w:t xml:space="preserve"> Fewer duplicate requests reaching packagers, standardized packages that pass Intune and Jamf validation the first time, a single record of truth for software state from approval through deployment</w:t>
      </w:r>
    </w:p>
    <w:p/>
    <w:p>
      <w:pPr>
        <w:spacing w:after="160" w:before="0"/>
      </w:pPr>
      <w:r>
        <w:rPr>
          <w:rFonts w:ascii="Calibri" w:hAnsi="Calibri"/>
          <w:b w:val="0"/>
          <w:i w:val="0"/>
          <w:sz w:val="22"/>
        </w:rPr>
        <w:t>Before we get to next steps, we also want to make sure the value of what has been built is clearly understood — because we have not communicated this well enough.</w:t>
      </w:r>
    </w:p>
    <w:p>
      <w:pPr>
        <w:spacing w:after="120" w:before="0"/>
      </w:pPr>
      <w:r>
        <w:rPr>
          <w:rFonts w:ascii="Calibri" w:hAnsi="Calibri"/>
          <w:b/>
          <w:i w:val="0"/>
          <w:sz w:val="22"/>
        </w:rPr>
        <w:t>What the SPA Workbench and framework actually deliver for packagers:</w:t>
      </w:r>
    </w:p>
    <w:p>
      <w:pPr>
        <w:spacing w:after="120" w:before="0"/>
      </w:pPr>
      <w:r>
        <w:rPr>
          <w:rFonts w:ascii="Calibri" w:hAnsi="Calibri"/>
          <w:b w:val="0"/>
          <w:i w:val="0"/>
          <w:sz w:val="22"/>
        </w:rPr>
        <w:t>The honest comparison is this: using Intune by itself to build Win32 apps is a rigid, manual, error-prone process — every required field must be filled in, the .intunewin file manually generated and uploaded, no ability to clone, no way to pick up where you left off. The SPA Workbench changes that fundamentally:</w:t>
      </w:r>
    </w:p>
    <w:p>
      <w:pPr>
        <w:pStyle w:val="ListBullet"/>
        <w:spacing w:after="80" w:before="0"/>
        <w:ind w:left="360"/>
      </w:pPr>
      <w:r>
        <w:rPr>
          <w:rFonts w:ascii="Calibri" w:hAnsi="Calibri"/>
          <w:b/>
          <w:i w:val="0"/>
          <w:sz w:val="22"/>
        </w:rPr>
        <w:t>Clone existing packages</w:t>
      </w:r>
      <w:r>
        <w:rPr>
          <w:rFonts w:ascii="Calibri" w:hAnsi="Calibri"/>
          <w:b w:val="0"/>
          <w:i w:val="0"/>
          <w:sz w:val="22"/>
        </w:rPr>
        <w:t xml:space="preserve"> — one of the most common packaging tasks (new version of an existing app) is reduced from a multi-step, copy-paste exercise across two browser windows to a single "Clone Title" operation. This is functionality Intune does not have natively and that was available in Configuration Manager.</w:t>
      </w:r>
    </w:p>
    <w:p>
      <w:pPr>
        <w:pStyle w:val="ListBullet"/>
        <w:spacing w:after="80" w:before="0"/>
        <w:ind w:left="360"/>
      </w:pPr>
      <w:r>
        <w:rPr>
          <w:rFonts w:ascii="Calibri" w:hAnsi="Calibri"/>
          <w:b/>
          <w:i w:val="0"/>
          <w:sz w:val="22"/>
        </w:rPr>
        <w:t>Automated .intunewin generation</w:t>
      </w:r>
      <w:r>
        <w:rPr>
          <w:rFonts w:ascii="Calibri" w:hAnsi="Calibri"/>
          <w:b w:val="0"/>
          <w:i w:val="0"/>
          <w:sz w:val="22"/>
        </w:rPr>
        <w:t xml:space="preserve"> — packagers no longer follow the manual preparation process. It runs automatically as part of the pipeline.</w:t>
      </w:r>
    </w:p>
    <w:p>
      <w:pPr>
        <w:pStyle w:val="ListBullet"/>
        <w:spacing w:after="80" w:before="0"/>
        <w:ind w:left="360"/>
      </w:pPr>
      <w:r>
        <w:rPr>
          <w:rFonts w:ascii="Calibri" w:hAnsi="Calibri"/>
          <w:b/>
          <w:i w:val="0"/>
          <w:sz w:val="22"/>
        </w:rPr>
        <w:t>Guided scaffolding for new titles</w:t>
      </w:r>
      <w:r>
        <w:rPr>
          <w:rFonts w:ascii="Calibri" w:hAnsi="Calibri"/>
          <w:b w:val="0"/>
          <w:i w:val="0"/>
          <w:sz w:val="22"/>
        </w:rPr>
        <w:t xml:space="preserve"> — the workbench steps packagers through every phase: installer details, detection rules, PSADT lifecycle actions, Intune metadata. Nothing is skipped or left to tribal knowledge.</w:t>
      </w:r>
    </w:p>
    <w:p>
      <w:pPr>
        <w:pStyle w:val="ListBullet"/>
        <w:spacing w:after="80" w:before="0"/>
        <w:ind w:left="360"/>
      </w:pPr>
      <w:r>
        <w:rPr>
          <w:rFonts w:ascii="Calibri" w:hAnsi="Calibri"/>
          <w:b/>
          <w:i w:val="0"/>
          <w:sz w:val="22"/>
        </w:rPr>
        <w:t>PSADT v4 always enforced</w:t>
      </w:r>
      <w:r>
        <w:rPr>
          <w:rFonts w:ascii="Calibri" w:hAnsi="Calibri"/>
          <w:b w:val="0"/>
          <w:i w:val="0"/>
          <w:sz w:val="22"/>
        </w:rPr>
        <w:t xml:space="preserve"> — packagers cannot accidentally use outdated templates. The latest approved version with EUC-approved configuration is applied automatically. Existing v3 scripts are converted automatically — a conversion capability that is more robust than PSADT's own native tools and has been tested on the most complex real-world scripts.</w:t>
      </w:r>
    </w:p>
    <w:p>
      <w:pPr>
        <w:pStyle w:val="ListBullet"/>
        <w:spacing w:after="80" w:before="0"/>
        <w:ind w:left="360"/>
      </w:pPr>
      <w:r>
        <w:rPr>
          <w:rFonts w:ascii="Calibri" w:hAnsi="Calibri"/>
          <w:b/>
          <w:i w:val="0"/>
          <w:sz w:val="22"/>
        </w:rPr>
        <w:t>GitLab as the single source of truth</w:t>
      </w:r>
      <w:r>
        <w:rPr>
          <w:rFonts w:ascii="Calibri" w:hAnsi="Calibri"/>
          <w:b w:val="0"/>
          <w:i w:val="0"/>
          <w:sz w:val="22"/>
        </w:rPr>
        <w:t xml:space="preserve"> — every version of every package is stored, versioned, and retrievable. Packagers no longer search file shares. One packager can pick up where another left off.</w:t>
      </w:r>
    </w:p>
    <w:p>
      <w:pPr>
        <w:pStyle w:val="ListBullet"/>
        <w:spacing w:after="80" w:before="0"/>
        <w:ind w:left="360"/>
      </w:pPr>
      <w:r>
        <w:rPr>
          <w:rFonts w:ascii="Calibri" w:hAnsi="Calibri"/>
          <w:b/>
          <w:i w:val="0"/>
          <w:sz w:val="22"/>
        </w:rPr>
        <w:t>Incremental saves, not all-or-nothing</w:t>
      </w:r>
      <w:r>
        <w:rPr>
          <w:rFonts w:ascii="Calibri" w:hAnsi="Calibri"/>
          <w:b w:val="0"/>
          <w:i w:val="0"/>
          <w:sz w:val="22"/>
        </w:rPr>
        <w:t xml:space="preserve"> — unlike Intune, the workbench lets packagers commit partial work and return to it. A project does not need to be complete before it is saved.</w:t>
      </w:r>
    </w:p>
    <w:p>
      <w:pPr>
        <w:pStyle w:val="ListBullet"/>
        <w:spacing w:after="80" w:before="0"/>
        <w:ind w:left="360"/>
      </w:pPr>
      <w:r>
        <w:rPr>
          <w:rFonts w:ascii="Calibri" w:hAnsi="Calibri"/>
          <w:b/>
          <w:i w:val="0"/>
          <w:sz w:val="22"/>
        </w:rPr>
        <w:t>Visual Action Builder</w:t>
      </w:r>
      <w:r>
        <w:rPr>
          <w:rFonts w:ascii="Calibri" w:hAnsi="Calibri"/>
          <w:b w:val="0"/>
          <w:i w:val="0"/>
          <w:sz w:val="22"/>
        </w:rPr>
        <w:t xml:space="preserve"> — simple apps can be packaged in minutes. Complex, multi-step deployment scripts can be constructed through a UI without writing raw PowerShell from scratch.</w:t>
      </w:r>
    </w:p>
    <w:p>
      <w:pPr>
        <w:pStyle w:val="ListBullet"/>
        <w:spacing w:after="80" w:before="0"/>
        <w:ind w:left="360"/>
      </w:pPr>
      <w:r>
        <w:rPr>
          <w:rFonts w:ascii="Calibri" w:hAnsi="Calibri"/>
          <w:b/>
          <w:i w:val="0"/>
          <w:sz w:val="22"/>
        </w:rPr>
        <w:t>One-click publish</w:t>
      </w:r>
      <w:r>
        <w:rPr>
          <w:rFonts w:ascii="Calibri" w:hAnsi="Calibri"/>
          <w:b w:val="0"/>
          <w:i w:val="0"/>
          <w:sz w:val="22"/>
        </w:rPr>
        <w:t xml:space="preserve"> — once a project is complete, publishing to Intune (create or update) is a single action. The pipeline handles the rest.</w:t>
      </w:r>
    </w:p>
    <w:p/>
    <w:p>
      <w:pPr>
        <w:spacing w:after="280" w:before="0"/>
      </w:pPr>
      <w:r>
        <w:rPr>
          <w:rFonts w:ascii="Calibri" w:hAnsi="Calibri"/>
          <w:b w:val="0"/>
          <w:i w:val="0"/>
          <w:sz w:val="22"/>
        </w:rPr>
        <w:t>This is the packaging layer. It is built, it works, and it meaningfully reduces the effort and variability involved in creating and maintaining packages. The workbench already knows the state of every package — when it was built, what version was published, what Intune App ID it received. Connecting that state back to an authoritative software catalog is largely a matter of wiring the workbench to call back and update the catalog record at each stage. The integration points are already designed. The catalog itself is what we need to finalize together.</w:t>
      </w:r>
    </w:p>
    <w:p>
      <w:pPr>
        <w:spacing w:before="280" w:after="80"/>
      </w:pPr>
      <w:r>
        <w:rPr>
          <w:rFonts w:ascii="Calibri" w:hAnsi="Calibri"/>
          <w:b/>
          <w:i w:val="0"/>
          <w:color w:val="276FBF"/>
          <w:sz w:val="26"/>
        </w:rPr>
        <w:t>Summary — what we are asking for</w:t>
      </w:r>
    </w:p>
    <w:p>
      <w:pPr>
        <w:spacing w:after="160" w:before="0"/>
      </w:pPr>
      <w:r>
        <w:rPr>
          <w:rFonts w:ascii="Calibri" w:hAnsi="Calibri"/>
          <w:b w:val="0"/>
          <w:i w:val="0"/>
          <w:sz w:val="22"/>
        </w:rPr>
        <w:t>We would welcome three working sessions in the near term:</w:t>
      </w:r>
    </w:p>
    <w:p>
      <w:pPr>
        <w:pStyle w:val="ListNumber"/>
        <w:spacing w:after="120"/>
        <w:ind w:left="360"/>
      </w:pPr>
      <w:r>
        <w:rPr>
          <w:rFonts w:ascii="Calibri" w:hAnsi="Calibri"/>
          <w:b/>
          <w:i w:val="0"/>
          <w:sz w:val="22"/>
        </w:rPr>
        <w:t xml:space="preserve">Intake and catalog design session — </w:t>
      </w:r>
      <w:r>
        <w:rPr>
          <w:rFonts w:ascii="Calibri" w:hAnsi="Calibri"/>
          <w:b w:val="0"/>
          <w:i w:val="0"/>
          <w:sz w:val="22"/>
        </w:rPr>
        <w:t>Walk through the proposed Teams / Power Automate approach to governance workflows and the software catalog model. We want your team's input on what the right data model looks like, how approval states should be managed, and what the requestor experience should feel like.</w:t>
      </w:r>
    </w:p>
    <w:p>
      <w:pPr>
        <w:pStyle w:val="ListNumber"/>
        <w:spacing w:after="120"/>
        <w:ind w:left="360"/>
      </w:pPr>
      <w:r>
        <w:rPr>
          <w:rFonts w:ascii="Calibri" w:hAnsi="Calibri"/>
          <w:b/>
          <w:i w:val="0"/>
          <w:sz w:val="22"/>
        </w:rPr>
        <w:t xml:space="preserve">Current-state process mapping — </w:t>
      </w:r>
      <w:r>
        <w:rPr>
          <w:rFonts w:ascii="Calibri" w:hAnsi="Calibri"/>
          <w:b w:val="0"/>
          <w:i w:val="0"/>
          <w:sz w:val="22"/>
        </w:rPr>
        <w:t>A joint session with EUC (and HCL if appropriate) to map the current intake and packaging process step by step. This gives us a shared baseline to measure against and surfaces the specific steps we can target for elimination.</w:t>
      </w:r>
    </w:p>
    <w:p>
      <w:pPr>
        <w:pStyle w:val="ListNumber"/>
        <w:spacing w:after="120"/>
        <w:ind w:left="360"/>
      </w:pPr>
      <w:r>
        <w:rPr>
          <w:rFonts w:ascii="Calibri" w:hAnsi="Calibri"/>
          <w:b/>
          <w:i w:val="0"/>
          <w:sz w:val="22"/>
        </w:rPr>
        <w:t xml:space="preserve">Operating model and ownership conversation — </w:t>
      </w:r>
      <w:r>
        <w:rPr>
          <w:rFonts w:ascii="Calibri" w:hAnsi="Calibri"/>
          <w:b w:val="0"/>
          <w:i w:val="0"/>
          <w:sz w:val="22"/>
        </w:rPr>
        <w:t>A conversation with the right stakeholders to define post-transition ownership, documentation expectations, and how support will work after the project closes.</w:t>
      </w:r>
    </w:p>
    <w:p/>
    <w:p>
      <w:pPr>
        <w:spacing w:after="200" w:before="0"/>
      </w:pPr>
      <w:r>
        <w:rPr>
          <w:rFonts w:ascii="Calibri" w:hAnsi="Calibri"/>
          <w:b w:val="0"/>
          <w:i w:val="0"/>
          <w:sz w:val="22"/>
        </w:rPr>
        <w:t>Throughout this initiative, we have invested heavily in documentation, architecture design, and sharing our thinking — the design document, integration guides, schema references, and workbench guides exist precisely because we have been trying to create opportunities for meaningful input. We recognise that joint working sessions have been harder to schedule than either side would have liked, and we want to make that a priority going forward. We are not asking for more patience — we are asking for dedicated time, on a regular cadence, so we can move through the remaining decisions together rather than in isolation.</w:t>
      </w:r>
    </w:p>
    <w:p>
      <w:pPr>
        <w:spacing w:after="280" w:before="0"/>
      </w:pPr>
      <w:r>
        <w:rPr>
          <w:rFonts w:ascii="Calibri" w:hAnsi="Calibri"/>
          <w:b w:val="0"/>
          <w:i w:val="0"/>
          <w:sz w:val="22"/>
        </w:rPr>
        <w:t>Looking forward to continuing the conversation.</w:t>
      </w:r>
    </w:p>
    <w:p>
      <w:pPr>
        <w:spacing w:after="120" w:before="0"/>
      </w:pPr>
      <w:r>
        <w:rPr>
          <w:rFonts w:ascii="Calibri" w:hAnsi="Calibri"/>
          <w:b w:val="0"/>
          <w:i/>
          <w:color w:val="404040"/>
          <w:sz w:val="22"/>
        </w:rPr>
        <w:t>— [Your Name], EUC Software Delivery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