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pBdr>
          <w:bottom w:val="single" w:sz="6" w:space="4" w:color="1F497D"/>
        </w:pBdr>
      </w:pPr>
      <w:r>
        <w:rPr>
          <w:rFonts w:ascii="Calibri" w:hAnsi="Calibri"/>
          <w:b/>
          <w:i w:val="0"/>
          <w:color w:val="1F497D"/>
          <w:sz w:val="36"/>
        </w:rPr>
        <w:t>Response to EUC Leadership Feedback</w:t>
      </w:r>
    </w:p>
    <w:p>
      <w:pPr>
        <w:spacing w:after="40" w:before="0"/>
      </w:pPr>
      <w:r>
        <w:rPr>
          <w:rFonts w:ascii="Calibri" w:hAnsi="Calibri"/>
          <w:b w:val="0"/>
          <w:i/>
          <w:color w:val="606060"/>
          <w:sz w:val="22"/>
        </w:rPr>
        <w:t>Software Delivery Automation Initiative</w:t>
      </w:r>
    </w:p>
    <w:p>
      <w:pPr>
        <w:spacing w:after="320" w:before="0"/>
      </w:pPr>
      <w:r>
        <w:rPr>
          <w:rFonts w:ascii="Calibri" w:hAnsi="Calibri"/>
          <w:b/>
          <w:i/>
          <w:color w:val="C05020"/>
          <w:sz w:val="20"/>
        </w:rPr>
        <w:t>DRAFT — For collaborative review before sending</w:t>
      </w:r>
    </w:p>
    <w:p>
      <w:pPr>
        <w:spacing w:after="160" w:before="0"/>
      </w:pPr>
      <w:r>
        <w:rPr>
          <w:rFonts w:ascii="Calibri" w:hAnsi="Calibri"/>
          <w:b w:val="0"/>
          <w:i w:val="0"/>
          <w:sz w:val="22"/>
        </w:rPr>
        <w:t>Hi [Name / Team],</w:t>
      </w:r>
    </w:p>
    <w:p>
      <w:pPr>
        <w:spacing w:after="120" w:before="0"/>
      </w:pPr>
      <w:r>
        <w:rPr>
          <w:rFonts w:ascii="Calibri" w:hAnsi="Calibri"/>
          <w:b w:val="0"/>
          <w:i w:val="0"/>
          <w:sz w:val="22"/>
        </w:rPr>
        <w:t>Thank you for this feedback — and more importantly, for the candour behind it. We have been sharing design documents, architecture decisions, and progress updates throughout this initiative, and your consolidated review gives us exactly the kind of structured input we need to make sure we are solving the right problems in the right order. The goal of this response is not to defend what has been built — it is to share where we are, be transparent about a pivot we are proposing, and identify where we genuinely need to work through decisions together.</w:t>
      </w:r>
    </w:p>
    <w:p>
      <w:pPr>
        <w:spacing w:after="280" w:before="0"/>
      </w:pPr>
      <w:r>
        <w:rPr>
          <w:rFonts w:ascii="Calibri" w:hAnsi="Calibri"/>
          <w:b w:val="0"/>
          <w:i w:val="0"/>
          <w:sz w:val="22"/>
        </w:rPr>
        <w:t>We will address each of the four areas you raised directly.</w:t>
      </w:r>
    </w:p>
    <w:p>
      <w:pPr>
        <w:spacing w:before="320" w:after="80"/>
      </w:pPr>
      <w:r>
        <w:rPr>
          <w:rFonts w:ascii="Calibri" w:hAnsi="Calibri"/>
          <w:b/>
          <w:i w:val="0"/>
          <w:color w:val="276FBF"/>
          <w:sz w:val="26"/>
        </w:rPr>
        <w:t>1.  The request and intake experience — we agree this is the priority</w:t>
      </w:r>
    </w:p>
    <w:p>
      <w:pPr>
        <w:spacing w:after="160" w:before="0"/>
      </w:pPr>
      <w:r>
        <w:rPr>
          <w:rFonts w:ascii="Calibri" w:hAnsi="Calibri"/>
          <w:b w:val="0"/>
          <w:i w:val="0"/>
          <w:sz w:val="22"/>
        </w:rPr>
        <w:t>Your framing is exactly right, and it is worth being explicit about why this problem is harder than it looks.</w:t>
      </w:r>
    </w:p>
    <w:p>
      <w:pPr>
        <w:spacing w:after="120" w:before="0"/>
      </w:pPr>
      <w:r>
        <w:rPr>
          <w:rFonts w:ascii="Calibri" w:hAnsi="Calibri"/>
          <w:b/>
          <w:i w:val="0"/>
          <w:sz w:val="22"/>
        </w:rPr>
        <w:t>The current state is broken in a structural way.</w:t>
      </w:r>
      <w:r>
        <w:rPr>
          <w:rFonts w:ascii="Calibri" w:hAnsi="Calibri"/>
          <w:b w:val="0"/>
          <w:i w:val="0"/>
          <w:sz w:val="22"/>
        </w:rPr>
        <w:t xml:space="preserve"> Today, the software approval process relies on two static SharePoint lists — one for approved software, one for denied — that are entirely disconnected from the request and intake workflow, disconnected from packages created by packagers, and disconnected from what is actually published and assigned in Intune. There are no naming standards, no versioning, and no reliable way to relate a given package to the title that was approved, the request that triggered it, or the assignment that was deployed. As a result:</w:t>
      </w:r>
    </w:p>
    <w:p>
      <w:pPr>
        <w:pStyle w:val="ListBullet"/>
        <w:spacing w:after="80" w:before="0"/>
        <w:ind w:left="360"/>
      </w:pPr>
      <w:r>
        <w:rPr>
          <w:rFonts w:ascii="Calibri" w:hAnsi="Calibri"/>
          <w:b w:val="0"/>
          <w:i w:val="0"/>
          <w:sz w:val="22"/>
        </w:rPr>
        <w:t>Users submit requests for software that is already packaged and available, with no visibility at the point of request</w:t>
      </w:r>
    </w:p>
    <w:p>
      <w:pPr>
        <w:pStyle w:val="ListBullet"/>
        <w:spacing w:after="80" w:before="0"/>
        <w:ind w:left="360"/>
      </w:pPr>
      <w:r>
        <w:rPr>
          <w:rFonts w:ascii="Calibri" w:hAnsi="Calibri"/>
          <w:b w:val="0"/>
          <w:i w:val="0"/>
          <w:sz w:val="22"/>
        </w:rPr>
        <w:t>Requests arrive for denied software without the requestor knowing it was ever denied</w:t>
      </w:r>
    </w:p>
    <w:p>
      <w:pPr>
        <w:pStyle w:val="ListBullet"/>
        <w:spacing w:after="80" w:before="0"/>
        <w:ind w:left="360"/>
      </w:pPr>
      <w:r>
        <w:rPr>
          <w:rFonts w:ascii="Calibri" w:hAnsi="Calibri"/>
          <w:b w:val="0"/>
          <w:i w:val="0"/>
          <w:sz w:val="22"/>
        </w:rPr>
        <w:t>Packagers have no authoritative source to validate what they are being asked to build</w:t>
      </w:r>
    </w:p>
    <w:p>
      <w:pPr>
        <w:pStyle w:val="ListBullet"/>
        <w:spacing w:after="80" w:before="0"/>
        <w:ind w:left="360"/>
      </w:pPr>
      <w:r>
        <w:rPr>
          <w:rFonts w:ascii="Calibri" w:hAnsi="Calibri"/>
          <w:b w:val="0"/>
          <w:i w:val="0"/>
          <w:sz w:val="22"/>
        </w:rPr>
        <w:t>There is no single record that tracks a title from approval → packaging → publishing → assignment</w:t>
      </w:r>
    </w:p>
    <w:p/>
    <w:p>
      <w:pPr>
        <w:spacing w:after="160" w:before="0"/>
      </w:pPr>
      <w:r>
        <w:rPr>
          <w:rFonts w:ascii="Calibri" w:hAnsi="Calibri"/>
          <w:b w:val="0"/>
          <w:i w:val="0"/>
          <w:sz w:val="22"/>
        </w:rPr>
        <w:t>There is also a subtler but equally important gap: the existing lists carry no machine-readable version rules. EUC's approvals are version-aware — software is approved at a version floor, meaning "this version and above" — but that constraint exists only as text written for a person to read. No system today can evaluate it at the point of a request. A user asking for an outdated or vulnerable version of approved software receives no different response than one asking for a current one. This is not a process failure; it is a data structure problem, and it is one of the core things the new catalog design is built to solve.</w:t>
      </w:r>
    </w:p>
    <w:p>
      <w:pPr>
        <w:spacing w:after="280" w:before="0"/>
      </w:pPr>
      <w:r>
        <w:rPr>
          <w:rFonts w:ascii="Calibri" w:hAnsi="Calibri"/>
          <w:b w:val="0"/>
          <w:i w:val="0"/>
          <w:sz w:val="22"/>
        </w:rPr>
        <w:t xml:space="preserve">Establishing an </w:t>
      </w:r>
      <w:r>
        <w:rPr>
          <w:rFonts w:ascii="Calibri" w:hAnsi="Calibri"/>
          <w:b/>
          <w:i w:val="0"/>
          <w:sz w:val="22"/>
        </w:rPr>
        <w:t>authoritative, integrated software list</w:t>
      </w:r>
      <w:r>
        <w:rPr>
          <w:rFonts w:ascii="Calibri" w:hAnsi="Calibri"/>
          <w:b w:val="0"/>
          <w:i w:val="0"/>
          <w:sz w:val="22"/>
        </w:rPr>
        <w:t xml:space="preserve"> — one that manages approval state, version constraints, packaging state, and publishing state as a single record of truth — is one of the foundational problems this initiative set out to solve. Everything else depends on it.</w:t>
      </w:r>
    </w:p>
    <w:p>
      <w:pPr>
        <w:spacing w:before="320" w:after="80"/>
      </w:pPr>
      <w:r>
        <w:rPr>
          <w:rFonts w:ascii="Calibri" w:hAnsi="Calibri"/>
          <w:b/>
          <w:i w:val="0"/>
          <w:color w:val="276FBF"/>
          <w:sz w:val="26"/>
        </w:rPr>
        <w:t>2.  The intake portal — more progress than you may realize, and a pivot we want to discuss</w:t>
      </w:r>
    </w:p>
    <w:p>
      <w:pPr>
        <w:spacing w:after="160" w:before="0"/>
      </w:pPr>
      <w:r>
        <w:rPr>
          <w:rFonts w:ascii="Calibri" w:hAnsi="Calibri"/>
          <w:b w:val="0"/>
          <w:i w:val="0"/>
          <w:sz w:val="22"/>
        </w:rPr>
        <w:t>We want to be transparent about where we are and where we are headed — including why the ServiceNow path did not work, because the reason matters for what comes next.</w:t>
      </w:r>
    </w:p>
    <w:p>
      <w:pPr>
        <w:spacing w:after="160" w:before="0"/>
      </w:pPr>
      <w:r>
        <w:rPr>
          <w:rFonts w:ascii="Calibri" w:hAnsi="Calibri"/>
          <w:b w:val="0"/>
          <w:i w:val="0"/>
          <w:sz w:val="22"/>
        </w:rPr>
        <w:t xml:space="preserve">The constraint is not one of delivery pace or resourcing. It is structural. ServiceNow's software governance model attaches decisions to a title. EUC's requirement attaches to a version — specifically, whether the version being requested meets an approved version floor. The platform's version condition supports only four operators: </w:t>
      </w:r>
      <w:r>
        <w:rPr>
          <w:rFonts w:ascii="Calibri" w:hAnsi="Calibri"/>
          <w:b w:val="0"/>
          <w:i/>
          <w:sz w:val="22"/>
        </w:rPr>
        <w:t>is</w:t>
      </w:r>
      <w:r>
        <w:rPr>
          <w:rFonts w:ascii="Calibri" w:hAnsi="Calibri"/>
          <w:b w:val="0"/>
          <w:i w:val="0"/>
          <w:sz w:val="22"/>
        </w:rPr>
        <w:t xml:space="preserve">, </w:t>
      </w:r>
      <w:r>
        <w:rPr>
          <w:rFonts w:ascii="Calibri" w:hAnsi="Calibri"/>
          <w:b w:val="0"/>
          <w:i/>
          <w:sz w:val="22"/>
        </w:rPr>
        <w:t>starts with</w:t>
      </w:r>
      <w:r>
        <w:rPr>
          <w:rFonts w:ascii="Calibri" w:hAnsi="Calibri"/>
          <w:b w:val="0"/>
          <w:i w:val="0"/>
          <w:sz w:val="22"/>
        </w:rPr>
        <w:t xml:space="preserve">, </w:t>
      </w:r>
      <w:r>
        <w:rPr>
          <w:rFonts w:ascii="Calibri" w:hAnsi="Calibri"/>
          <w:b w:val="0"/>
          <w:i/>
          <w:sz w:val="22"/>
        </w:rPr>
        <w:t>is anything</w:t>
      </w:r>
      <w:r>
        <w:rPr>
          <w:rFonts w:ascii="Calibri" w:hAnsi="Calibri"/>
          <w:b w:val="0"/>
          <w:i w:val="0"/>
          <w:sz w:val="22"/>
        </w:rPr>
        <w:t xml:space="preserve">, and </w:t>
      </w:r>
      <w:r>
        <w:rPr>
          <w:rFonts w:ascii="Calibri" w:hAnsi="Calibri"/>
          <w:b w:val="0"/>
          <w:i/>
          <w:sz w:val="22"/>
        </w:rPr>
        <w:t>is empty</w:t>
      </w:r>
      <w:r>
        <w:rPr>
          <w:rFonts w:ascii="Calibri" w:hAnsi="Calibri"/>
          <w:b w:val="0"/>
          <w:i w:val="0"/>
          <w:sz w:val="22"/>
        </w:rPr>
        <w:t xml:space="preserve">. There is no </w:t>
      </w:r>
      <w:r>
        <w:rPr>
          <w:rFonts w:ascii="Calibri" w:hAnsi="Calibri"/>
          <w:b w:val="0"/>
          <w:i/>
          <w:sz w:val="22"/>
        </w:rPr>
        <w:t>greater than</w:t>
      </w:r>
      <w:r>
        <w:rPr>
          <w:rFonts w:ascii="Calibri" w:hAnsi="Calibri"/>
          <w:b w:val="0"/>
          <w:i w:val="0"/>
          <w:sz w:val="22"/>
        </w:rPr>
        <w:t xml:space="preserve"> anywhere in the model. A rule reading "approved at 18.0.0 and above" has no native representation in ServiceNow, and that is the central requirement — not a nice-to-have. The platform simply cannot express it as a governed constraint.</w:t>
      </w:r>
    </w:p>
    <w:p>
      <w:pPr>
        <w:spacing w:after="160" w:before="0"/>
      </w:pPr>
      <w:r>
        <w:rPr>
          <w:rFonts w:ascii="Calibri" w:hAnsi="Calibri"/>
          <w:b w:val="0"/>
          <w:i w:val="0"/>
          <w:sz w:val="22"/>
        </w:rPr>
        <w:t>This is the finding from the technical build work done with the ServiceNow team, working against a real development instance with real data from your approved and denied lists. The constraint did not surface until software model records were created against actual titles, because nothing in the design phase required that step.</w:t>
      </w:r>
    </w:p>
    <w:p>
      <w:pPr>
        <w:spacing w:after="160" w:before="0"/>
      </w:pPr>
      <w:r>
        <w:rPr>
          <w:rFonts w:ascii="Calibri" w:hAnsi="Calibri"/>
          <w:b w:val="0"/>
          <w:i w:val="0"/>
          <w:sz w:val="22"/>
        </w:rPr>
        <w:t xml:space="preserve">However — and this is important context — </w:t>
      </w:r>
      <w:r>
        <w:rPr>
          <w:rFonts w:ascii="Calibri" w:hAnsi="Calibri"/>
          <w:b/>
          <w:i w:val="0"/>
          <w:sz w:val="22"/>
        </w:rPr>
        <w:t>we have not been waiting on ServiceNow to do the work</w:t>
      </w:r>
      <w:r>
        <w:rPr>
          <w:rFonts w:ascii="Calibri" w:hAnsi="Calibri"/>
          <w:b w:val="0"/>
          <w:i w:val="0"/>
          <w:sz w:val="22"/>
        </w:rPr>
        <w:t>. The SPA intake portal is already built. We developed it with a stubbed backend API specifically designed to be wired to a governance and catalog layer once that layer was confirmed. The front-end experience — the request form, the catalog validation flow, the packager workbench pre-population — is functional today. What remains is connecting it to the right data source and workflow engine.</w:t>
      </w:r>
    </w:p>
    <w:p>
      <w:pPr>
        <w:spacing w:after="160" w:before="0"/>
      </w:pPr>
      <w:r>
        <w:rPr>
          <w:rFonts w:ascii="Calibri" w:hAnsi="Calibri"/>
          <w:b w:val="0"/>
          <w:i w:val="0"/>
          <w:sz w:val="22"/>
        </w:rPr>
        <w:t xml:space="preserve">The same build work that exposed the ServiceNow constraint also identified the right path forward. Rather than a native software model, the catalog can be held as a </w:t>
      </w:r>
      <w:r>
        <w:rPr>
          <w:rFonts w:ascii="Calibri" w:hAnsi="Calibri"/>
          <w:b/>
          <w:i w:val="0"/>
          <w:sz w:val="22"/>
        </w:rPr>
        <w:t>structured flat table</w:t>
      </w:r>
      <w:r>
        <w:rPr>
          <w:rFonts w:ascii="Calibri" w:hAnsi="Calibri"/>
          <w:b w:val="0"/>
          <w:i w:val="0"/>
          <w:sz w:val="22"/>
        </w:rPr>
        <w:t xml:space="preserve"> — each row representing a title, carrying its approval status, its version constraint as a readable rule, its packaging state, and its fulfillment path. A script evaluates the version rule at submission. "18.0.0 and above" stored as text is something a script can compare against; it is also the only approach that can express a version rule at all.</w:t>
      </w:r>
    </w:p>
    <w:p>
      <w:pPr>
        <w:spacing w:after="160" w:before="0"/>
      </w:pPr>
      <w:r>
        <w:rPr>
          <w:rFonts w:ascii="Calibri" w:hAnsi="Calibri"/>
          <w:b w:val="0"/>
          <w:i w:val="0"/>
          <w:sz w:val="22"/>
        </w:rPr>
        <w:t>This pattern has a working precedent inside Fiserv. The existing server and mainframe software approval solution — built and actively maintained by another team — uses exactly this structure: a flat table, with optional references to software models added incrementally over time rather than required up front. Their request path has worked throughout. We are not proposing something untested; we are proposing that EUC's workstation catalog follow the same approach that already governs the server estate.</w:t>
      </w:r>
    </w:p>
    <w:p>
      <w:pPr>
        <w:spacing w:after="120" w:before="0"/>
      </w:pPr>
      <w:r>
        <w:rPr>
          <w:rFonts w:ascii="Calibri" w:hAnsi="Calibri"/>
          <w:b w:val="0"/>
          <w:i w:val="0"/>
          <w:sz w:val="22"/>
        </w:rPr>
        <w:t xml:space="preserve">For the workflow and governance layer, we are proposing the </w:t>
      </w:r>
      <w:r>
        <w:rPr>
          <w:rFonts w:ascii="Calibri" w:hAnsi="Calibri"/>
          <w:b/>
          <w:i w:val="0"/>
          <w:sz w:val="22"/>
        </w:rPr>
        <w:t>Microsoft 365 ecosystem</w:t>
      </w:r>
      <w:r>
        <w:rPr>
          <w:rFonts w:ascii="Calibri" w:hAnsi="Calibri"/>
          <w:b w:val="0"/>
          <w:i w:val="0"/>
          <w:sz w:val="22"/>
        </w:rPr>
        <w:t xml:space="preserve"> — Microsoft Teams and Power Automate — as the platform for approval routing, notifications, and status tracking. This keeps the solution in tools your teams already use, removes the ServiceNow dependency, and allows us to move without waiting on a separate delivery timeline. This approach:</w:t>
      </w:r>
    </w:p>
    <w:p>
      <w:pPr>
        <w:pStyle w:val="ListBullet"/>
        <w:spacing w:after="80" w:before="0"/>
        <w:ind w:left="360"/>
      </w:pPr>
      <w:r>
        <w:rPr>
          <w:rFonts w:ascii="Calibri" w:hAnsi="Calibri"/>
          <w:b w:val="0"/>
          <w:i w:val="0"/>
          <w:sz w:val="22"/>
        </w:rPr>
        <w:t>Keeps the solution in the tools your teams already use every day</w:t>
      </w:r>
    </w:p>
    <w:p>
      <w:pPr>
        <w:pStyle w:val="ListBullet"/>
        <w:spacing w:after="80" w:before="0"/>
        <w:ind w:left="360"/>
      </w:pPr>
      <w:r>
        <w:rPr>
          <w:rFonts w:ascii="Calibri" w:hAnsi="Calibri"/>
          <w:b w:val="0"/>
          <w:i w:val="0"/>
          <w:sz w:val="22"/>
        </w:rPr>
        <w:t>Expresses version-aware approval rules natively — something ServiceNow could not do</w:t>
      </w:r>
    </w:p>
    <w:p>
      <w:pPr>
        <w:pStyle w:val="ListBullet"/>
        <w:spacing w:after="80" w:before="0"/>
        <w:ind w:left="360"/>
      </w:pPr>
      <w:r>
        <w:rPr>
          <w:rFonts w:ascii="Calibri" w:hAnsi="Calibri"/>
          <w:b w:val="0"/>
          <w:i w:val="0"/>
          <w:sz w:val="22"/>
        </w:rPr>
        <w:t>Lets us build approval routing, ASL/DSL logic, and packaging state tracking on our own schedule</w:t>
      </w:r>
    </w:p>
    <w:p>
      <w:pPr>
        <w:pStyle w:val="ListBullet"/>
        <w:spacing w:after="80" w:before="0"/>
        <w:ind w:left="360"/>
      </w:pPr>
      <w:r>
        <w:rPr>
          <w:rFonts w:ascii="Calibri" w:hAnsi="Calibri"/>
          <w:b w:val="0"/>
          <w:i w:val="0"/>
          <w:sz w:val="22"/>
        </w:rPr>
        <w:t>Gives EUC direct visibility and ownership of the catalog and request experience</w:t>
      </w:r>
    </w:p>
    <w:p>
      <w:pPr>
        <w:pStyle w:val="ListBullet"/>
        <w:spacing w:after="80" w:before="0"/>
        <w:ind w:left="360"/>
      </w:pPr>
      <w:r>
        <w:rPr>
          <w:rFonts w:ascii="Calibri" w:hAnsi="Calibri"/>
          <w:b w:val="0"/>
          <w:i w:val="0"/>
          <w:sz w:val="22"/>
        </w:rPr>
        <w:t>Means the intake portal we have already built is the front-end — we are wiring it to the right back-end, not starting over</w:t>
      </w:r>
    </w:p>
    <w:p/>
    <w:p>
      <w:pPr>
        <w:spacing w:after="160" w:before="0"/>
      </w:pPr>
      <w:r>
        <w:rPr>
          <w:rFonts w:ascii="Calibri" w:hAnsi="Calibri"/>
          <w:b w:val="0"/>
          <w:i w:val="0"/>
          <w:sz w:val="22"/>
        </w:rPr>
        <w:t xml:space="preserve">There are integration patterns worth evaluating together — SharePoint List with Power Automate triggers, a Dataverse table, or a lightweight API layer — and we do not want to decide that unilaterally. </w:t>
      </w:r>
      <w:r>
        <w:rPr>
          <w:rFonts w:ascii="Calibri" w:hAnsi="Calibri"/>
          <w:b/>
          <w:i w:val="0"/>
          <w:sz w:val="22"/>
        </w:rPr>
        <w:t>We would like to schedule a working session specifically to walk through the options and agree the approach.</w:t>
      </w:r>
    </w:p>
    <w:p>
      <w:pPr>
        <w:spacing w:after="280" w:before="0"/>
      </w:pPr>
      <w:r>
        <w:rPr>
          <w:rFonts w:ascii="Calibri" w:hAnsi="Calibri"/>
          <w:b w:val="0"/>
          <w:i w:val="0"/>
          <w:sz w:val="22"/>
        </w:rPr>
        <w:t>The scenarios you asked to see — catalog validation at intake, the experience when software is already packaged, the denied software path, the net-new workflow, manual step removal — remain the design intent. The intake portal already demonstrates most of these. What we need to align on is the catalog data model and how we connect it to live governance.</w:t>
      </w:r>
    </w:p>
    <w:p>
      <w:pPr>
        <w:spacing w:before="320" w:after="80"/>
      </w:pPr>
      <w:r>
        <w:rPr>
          <w:rFonts w:ascii="Calibri" w:hAnsi="Calibri"/>
          <w:b/>
          <w:i w:val="0"/>
          <w:color w:val="276FBF"/>
          <w:sz w:val="26"/>
        </w:rPr>
        <w:t>3.  Supportability and operational model of the packaging factory</w:t>
      </w:r>
    </w:p>
    <w:p>
      <w:pPr>
        <w:spacing w:after="160" w:before="0"/>
      </w:pPr>
      <w:r>
        <w:rPr>
          <w:rFonts w:ascii="Calibri" w:hAnsi="Calibri"/>
          <w:b w:val="0"/>
          <w:i w:val="0"/>
          <w:sz w:val="22"/>
        </w:rPr>
        <w:t>We understand the concern and want to address it honestly.</w:t>
      </w:r>
    </w:p>
    <w:p>
      <w:pPr>
        <w:spacing w:after="120" w:before="0"/>
      </w:pPr>
      <w:r>
        <w:rPr>
          <w:rFonts w:ascii="Calibri" w:hAnsi="Calibri"/>
          <w:b w:val="0"/>
          <w:i w:val="0"/>
          <w:sz w:val="22"/>
        </w:rPr>
        <w:t>The packaging automation — the GitLab pipelines, the packaging workbench, the PSADT framework, and the Intune/Jamf deployment modules — is built on standard, documented, industry-used components. None of the core packaging tooling is bespoke:</w:t>
      </w:r>
    </w:p>
    <w:p>
      <w:pPr>
        <w:pStyle w:val="ListBullet"/>
        <w:spacing w:after="80" w:before="0"/>
        <w:ind w:left="360"/>
      </w:pPr>
      <w:r>
        <w:rPr>
          <w:rFonts w:ascii="Calibri" w:hAnsi="Calibri"/>
          <w:b w:val="0"/>
          <w:i w:val="0"/>
          <w:sz w:val="22"/>
        </w:rPr>
        <w:t>PSADT is an open-source industry standard — not a custom framework we built</w:t>
      </w:r>
    </w:p>
    <w:p>
      <w:pPr>
        <w:pStyle w:val="ListBullet"/>
        <w:spacing w:after="80" w:before="0"/>
        <w:ind w:left="360"/>
      </w:pPr>
      <w:r>
        <w:rPr>
          <w:rFonts w:ascii="Calibri" w:hAnsi="Calibri"/>
          <w:b w:val="0"/>
          <w:i w:val="0"/>
          <w:sz w:val="22"/>
        </w:rPr>
        <w:t>GitLab CI templates follow standard YAML conventions and are versioned and documented</w:t>
      </w:r>
    </w:p>
    <w:p>
      <w:pPr>
        <w:pStyle w:val="ListBullet"/>
        <w:spacing w:after="80" w:before="0"/>
        <w:ind w:left="360"/>
      </w:pPr>
      <w:r>
        <w:rPr>
          <w:rFonts w:ascii="Calibri" w:hAnsi="Calibri"/>
          <w:b w:val="0"/>
          <w:i w:val="0"/>
          <w:sz w:val="22"/>
        </w:rPr>
        <w:t>Microsoft Graph API is the Microsoft-supported path for Intune automation</w:t>
      </w:r>
    </w:p>
    <w:p>
      <w:pPr>
        <w:pStyle w:val="ListBullet"/>
        <w:spacing w:after="80" w:before="0"/>
        <w:ind w:left="360"/>
      </w:pPr>
      <w:r>
        <w:rPr>
          <w:rFonts w:ascii="Calibri" w:hAnsi="Calibri"/>
          <w:b w:val="0"/>
          <w:i w:val="0"/>
          <w:sz w:val="22"/>
        </w:rPr>
        <w:t>Terraform + Jamf Pro provider is a maintained, community-standard integration</w:t>
      </w:r>
    </w:p>
    <w:p/>
    <w:p>
      <w:pPr>
        <w:spacing w:after="120" w:before="0"/>
      </w:pPr>
      <w:r>
        <w:rPr>
          <w:rFonts w:ascii="Calibri" w:hAnsi="Calibri"/>
          <w:b w:val="0"/>
          <w:i w:val="0"/>
          <w:sz w:val="22"/>
        </w:rPr>
        <w:t>On your specific questions:</w:t>
      </w:r>
    </w:p>
    <w:tbl>
      <w:tblPr>
        <w:tblStyle w:val="TableGrid"/>
        <w:tblW w:type="auto" w:w="0"/>
        <w:tblLook w:firstColumn="1" w:firstRow="1" w:lastColumn="0" w:lastRow="0" w:noHBand="0" w:noVBand="1" w:val="04A0"/>
      </w:tblPr>
      <w:tblGrid>
        <w:gridCol w:w="3600"/>
        <w:gridCol w:w="5760"/>
      </w:tblGrid>
      <w:tr>
        <w:tc>
          <w:tcPr>
            <w:tcW w:type="dxa" w:w="4320"/>
          </w:tcPr>
          <w:p/>
        </w:tc>
        <w:tc>
          <w:tcPr>
            <w:tcW w:type="dxa" w:w="4320"/>
          </w:tcPr>
          <w:p/>
        </w:tc>
      </w:tr>
      <w:tr>
        <w:tc>
          <w:tcPr>
            <w:tcW w:type="dxa" w:w="3600"/>
            <w:shd w:fill="1F497D" w:val="clear"/>
          </w:tcPr>
          <w:p>
            <w:r/>
            <w:r>
              <w:rPr>
                <w:rFonts w:ascii="Calibri" w:hAnsi="Calibri"/>
                <w:b/>
                <w:i w:val="0"/>
                <w:color w:val="FFFFFF"/>
                <w:sz w:val="20"/>
              </w:rPr>
              <w:t>Question</w:t>
            </w:r>
          </w:p>
        </w:tc>
        <w:tc>
          <w:tcPr>
            <w:tcW w:type="dxa" w:w="5760"/>
            <w:shd w:fill="1F497D" w:val="clear"/>
          </w:tcPr>
          <w:p>
            <w:r/>
            <w:r>
              <w:rPr>
                <w:rFonts w:ascii="Calibri" w:hAnsi="Calibri"/>
                <w:b/>
                <w:i w:val="0"/>
                <w:color w:val="FFFFFF"/>
                <w:sz w:val="20"/>
              </w:rPr>
              <w:t>Where we are</w:t>
            </w:r>
          </w:p>
        </w:tc>
      </w:tr>
      <w:tr>
        <w:tc>
          <w:tcPr>
            <w:tcW w:type="dxa" w:w="3600"/>
          </w:tcPr>
          <w:p>
            <w:r/>
            <w:r>
              <w:rPr>
                <w:rFonts w:ascii="Calibri" w:hAnsi="Calibri"/>
                <w:b w:val="0"/>
                <w:i w:val="0"/>
                <w:sz w:val="20"/>
              </w:rPr>
              <w:t>Support model post-implementation</w:t>
            </w:r>
          </w:p>
        </w:tc>
        <w:tc>
          <w:tcPr>
            <w:tcW w:type="dxa" w:w="5760"/>
          </w:tcPr>
          <w:p>
            <w:r/>
            <w:r>
              <w:rPr>
                <w:rFonts w:ascii="Calibri" w:hAnsi="Calibri"/>
                <w:b w:val="0"/>
                <w:i w:val="0"/>
                <w:sz w:val="20"/>
              </w:rPr>
              <w:t>The platform is designed for EUC packagers to operate day-to-day. Templates, schemas, and the workbench are documented. A structured knowledge transfer plan is part of our close-out scope.</w:t>
            </w:r>
          </w:p>
        </w:tc>
      </w:tr>
      <w:tr>
        <w:tc>
          <w:tcPr>
            <w:tcW w:type="dxa" w:w="3600"/>
          </w:tcPr>
          <w:p>
            <w:r/>
            <w:r>
              <w:rPr>
                <w:rFonts w:ascii="Calibri" w:hAnsi="Calibri"/>
                <w:b w:val="0"/>
                <w:i w:val="0"/>
                <w:sz w:val="20"/>
              </w:rPr>
              <w:t>Documentation</w:t>
            </w:r>
          </w:p>
        </w:tc>
        <w:tc>
          <w:tcPr>
            <w:tcW w:type="dxa" w:w="5760"/>
          </w:tcPr>
          <w:p>
            <w:r/>
            <w:r>
              <w:rPr>
                <w:rFonts w:ascii="Calibri" w:hAnsi="Calibri"/>
                <w:b w:val="0"/>
                <w:i w:val="0"/>
                <w:sz w:val="20"/>
              </w:rPr>
              <w:t>Design document, integration guide, workbench user guide, and schema reference already exist. We can define a KT plan together.</w:t>
            </w:r>
          </w:p>
        </w:tc>
      </w:tr>
      <w:tr>
        <w:tc>
          <w:tcPr>
            <w:tcW w:type="dxa" w:w="3600"/>
          </w:tcPr>
          <w:p>
            <w:r/>
            <w:r>
              <w:rPr>
                <w:rFonts w:ascii="Calibri" w:hAnsi="Calibri"/>
                <w:b w:val="0"/>
                <w:i w:val="0"/>
                <w:sz w:val="20"/>
              </w:rPr>
              <w:t>Ongoing maintenance</w:t>
            </w:r>
          </w:p>
        </w:tc>
        <w:tc>
          <w:tcPr>
            <w:tcW w:type="dxa" w:w="5760"/>
          </w:tcPr>
          <w:p>
            <w:r/>
            <w:r>
              <w:rPr>
                <w:rFonts w:ascii="Calibri" w:hAnsi="Calibri"/>
                <w:b w:val="0"/>
                <w:i w:val="0"/>
                <w:sz w:val="20"/>
              </w:rPr>
              <w:t>Framework components are independently versioned. Title repos pin to specific versions. There is no monolithic upgrade — individual components can be updated independently.</w:t>
            </w:r>
          </w:p>
        </w:tc>
      </w:tr>
      <w:tr>
        <w:tc>
          <w:tcPr>
            <w:tcW w:type="dxa" w:w="3600"/>
          </w:tcPr>
          <w:p>
            <w:r/>
            <w:r>
              <w:rPr>
                <w:rFonts w:ascii="Calibri" w:hAnsi="Calibri"/>
                <w:b w:val="0"/>
                <w:i w:val="0"/>
                <w:sz w:val="20"/>
              </w:rPr>
              <w:t>Ownership post-transition</w:t>
            </w:r>
          </w:p>
        </w:tc>
        <w:tc>
          <w:tcPr>
            <w:tcW w:type="dxa" w:w="5760"/>
          </w:tcPr>
          <w:p>
            <w:r/>
            <w:r>
              <w:rPr>
                <w:rFonts w:ascii="Calibri" w:hAnsi="Calibri"/>
                <w:b w:val="0"/>
                <w:i w:val="0"/>
                <w:sz w:val="20"/>
              </w:rPr>
              <w:t>We do not want to define this unilaterally. We have a point of view and are ready to discuss it with EUC leadership and platform engineering.</w:t>
            </w:r>
          </w:p>
        </w:tc>
      </w:tr>
      <w:tr>
        <w:tc>
          <w:tcPr>
            <w:tcW w:type="dxa" w:w="3600"/>
          </w:tcPr>
          <w:p>
            <w:r/>
            <w:r>
              <w:rPr>
                <w:rFonts w:ascii="Calibri" w:hAnsi="Calibri"/>
                <w:b w:val="0"/>
                <w:i w:val="0"/>
                <w:sz w:val="20"/>
              </w:rPr>
              <w:t>Troubleshooting</w:t>
            </w:r>
          </w:p>
        </w:tc>
        <w:tc>
          <w:tcPr>
            <w:tcW w:type="dxa" w:w="5760"/>
          </w:tcPr>
          <w:p>
            <w:r/>
            <w:r>
              <w:rPr>
                <w:rFonts w:ascii="Calibri" w:hAnsi="Calibri"/>
                <w:b w:val="0"/>
                <w:i w:val="0"/>
                <w:sz w:val="20"/>
              </w:rPr>
              <w:t>Pipeline failures produce structured logs. Schema validation surfaces configuration errors before packaging runs. We can document runbooks together.</w:t>
            </w:r>
          </w:p>
        </w:tc>
      </w:tr>
    </w:tbl>
    <w:p/>
    <w:p>
      <w:pPr>
        <w:spacing w:after="280" w:before="0"/>
      </w:pPr>
      <w:r>
        <w:rPr>
          <w:rFonts w:ascii="Calibri" w:hAnsi="Calibri"/>
          <w:b w:val="0"/>
          <w:i w:val="0"/>
          <w:sz w:val="22"/>
        </w:rPr>
        <w:t xml:space="preserve">We also want to acknowledge your point that </w:t>
      </w:r>
      <w:r>
        <w:rPr>
          <w:rFonts w:ascii="Calibri" w:hAnsi="Calibri"/>
          <w:b/>
          <w:i w:val="0"/>
          <w:sz w:val="22"/>
        </w:rPr>
        <w:t>packaging execution is not the primary bottleneck</w:t>
      </w:r>
      <w:r>
        <w:rPr>
          <w:rFonts w:ascii="Calibri" w:hAnsi="Calibri"/>
          <w:b w:val="0"/>
          <w:i w:val="0"/>
          <w:sz w:val="22"/>
        </w:rPr>
        <w:t>. We agree. The pipeline's value is in standardization — every title built the same way, validated against the same schemas, with consistent detection and deployment patterns — and in connecting packaging state back to the authoritative software list. Cycle time improvements will primarily come from the intake and catalog changes, not from packaging speed.</w:t>
      </w:r>
    </w:p>
    <w:p>
      <w:pPr>
        <w:spacing w:before="320" w:after="80"/>
      </w:pPr>
      <w:r>
        <w:rPr>
          <w:rFonts w:ascii="Calibri" w:hAnsi="Calibri"/>
          <w:b/>
          <w:i w:val="0"/>
          <w:color w:val="276FBF"/>
          <w:sz w:val="26"/>
        </w:rPr>
        <w:t>4.  Target-state operating model — let's build this together</w:t>
      </w:r>
    </w:p>
    <w:p>
      <w:pPr>
        <w:spacing w:after="160" w:before="0"/>
      </w:pPr>
      <w:r>
        <w:rPr>
          <w:rFonts w:ascii="Calibri" w:hAnsi="Calibri"/>
          <w:b w:val="0"/>
          <w:i w:val="0"/>
          <w:sz w:val="22"/>
        </w:rPr>
        <w:t>This is the area where we do not yet have a complete picture, and where we cannot produce one without you. We do not have a side-by-side view of what the current process looks like step-by-step versus what the future state removes or reduces — and that gap needs to be closed jointly.</w:t>
      </w:r>
    </w:p>
    <w:p>
      <w:pPr>
        <w:spacing w:after="120" w:before="0"/>
      </w:pPr>
      <w:r>
        <w:rPr>
          <w:rFonts w:ascii="Calibri" w:hAnsi="Calibri"/>
          <w:b w:val="0"/>
          <w:i w:val="0"/>
          <w:sz w:val="22"/>
        </w:rPr>
        <w:t>Here is what we do know:</w:t>
      </w:r>
    </w:p>
    <w:p>
      <w:pPr>
        <w:pStyle w:val="ListBullet"/>
        <w:spacing w:after="80" w:before="0"/>
        <w:ind w:left="360"/>
      </w:pPr>
      <w:r>
        <w:rPr>
          <w:rFonts w:ascii="Calibri" w:hAnsi="Calibri"/>
          <w:b/>
          <w:i w:val="0"/>
          <w:sz w:val="22"/>
        </w:rPr>
        <w:t>What is being automated or removed:</w:t>
      </w:r>
      <w:r>
        <w:rPr>
          <w:rFonts w:ascii="Calibri" w:hAnsi="Calibri"/>
          <w:b w:val="0"/>
          <w:i w:val="0"/>
          <w:sz w:val="22"/>
        </w:rPr>
        <w:t xml:space="preserve"> Intake re-entry, manual catalog lookups, duplicate request discovery, packaging file scaffolding from scratch, manual status tracking, PSADT v3 → v4 migration for existing titles</w:t>
      </w:r>
    </w:p>
    <w:p>
      <w:pPr>
        <w:pStyle w:val="ListBullet"/>
        <w:spacing w:after="80" w:before="0"/>
        <w:ind w:left="360"/>
      </w:pPr>
      <w:r>
        <w:rPr>
          <w:rFonts w:ascii="Calibri" w:hAnsi="Calibri"/>
          <w:b/>
          <w:i w:val="0"/>
          <w:sz w:val="22"/>
        </w:rPr>
        <w:t>Which teams will see reduced effort:</w:t>
      </w:r>
      <w:r>
        <w:rPr>
          <w:rFonts w:ascii="Calibri" w:hAnsi="Calibri"/>
          <w:b w:val="0"/>
          <w:i w:val="0"/>
          <w:sz w:val="22"/>
        </w:rPr>
        <w:t xml:space="preserve"> EUC coordinators spend less time routing and chasing status. Packagers spend less time on boilerplate and repetitive configuration. The degree of change for HCL is a conversation we need to have together.</w:t>
      </w:r>
    </w:p>
    <w:p>
      <w:pPr>
        <w:pStyle w:val="ListBullet"/>
        <w:spacing w:after="80" w:before="0"/>
        <w:ind w:left="360"/>
      </w:pPr>
      <w:r>
        <w:rPr>
          <w:rFonts w:ascii="Calibri" w:hAnsi="Calibri"/>
          <w:b/>
          <w:i w:val="0"/>
          <w:sz w:val="22"/>
        </w:rPr>
        <w:t>Cycle time reduction:</w:t>
      </w:r>
      <w:r>
        <w:rPr>
          <w:rFonts w:ascii="Calibri" w:hAnsi="Calibri"/>
          <w:b w:val="0"/>
          <w:i w:val="0"/>
          <w:sz w:val="22"/>
        </w:rPr>
        <w:t xml:space="preserve"> We cannot put a number on this without baselining the current process. We would like to do that exercise jointly — walk through a real request from submission to assignment and time each step.</w:t>
      </w:r>
    </w:p>
    <w:p>
      <w:pPr>
        <w:pStyle w:val="ListBullet"/>
        <w:spacing w:after="80" w:before="0"/>
        <w:ind w:left="360"/>
      </w:pPr>
      <w:r>
        <w:rPr>
          <w:rFonts w:ascii="Calibri" w:hAnsi="Calibri"/>
          <w:b/>
          <w:i w:val="0"/>
          <w:sz w:val="22"/>
        </w:rPr>
        <w:t>Business outcomes:</w:t>
      </w:r>
      <w:r>
        <w:rPr>
          <w:rFonts w:ascii="Calibri" w:hAnsi="Calibri"/>
          <w:b w:val="0"/>
          <w:i w:val="0"/>
          <w:sz w:val="22"/>
        </w:rPr>
        <w:t xml:space="preserve"> Fewer duplicate requests reaching packagers, standardized packages that pass Intune and Jamf validation the first time, a single record of truth for software state from approval through deployment</w:t>
      </w:r>
    </w:p>
    <w:p/>
    <w:p>
      <w:pPr>
        <w:spacing w:after="160" w:before="0"/>
      </w:pPr>
      <w:r>
        <w:rPr>
          <w:rFonts w:ascii="Calibri" w:hAnsi="Calibri"/>
          <w:b w:val="0"/>
          <w:i w:val="0"/>
          <w:sz w:val="22"/>
        </w:rPr>
        <w:t>Before we get to next steps, we also want to make sure the value of what has been built is clearly understood — because we have not communicated this well enough.</w:t>
      </w:r>
    </w:p>
    <w:p>
      <w:pPr>
        <w:spacing w:after="120" w:before="0"/>
      </w:pPr>
      <w:r>
        <w:rPr>
          <w:rFonts w:ascii="Calibri" w:hAnsi="Calibri"/>
          <w:b/>
          <w:i w:val="0"/>
          <w:sz w:val="22"/>
        </w:rPr>
        <w:t>What the SPA Workbench and framework actually deliver for packagers:</w:t>
      </w:r>
    </w:p>
    <w:p>
      <w:pPr>
        <w:spacing w:after="120" w:before="0"/>
      </w:pPr>
      <w:r>
        <w:rPr>
          <w:rFonts w:ascii="Calibri" w:hAnsi="Calibri"/>
          <w:b w:val="0"/>
          <w:i w:val="0"/>
          <w:sz w:val="22"/>
        </w:rPr>
        <w:t>The honest comparison is this: using Intune by itself to build Win32 apps is a rigid, manual, error-prone process — every required field must be filled in, the .intunewin file manually generated and uploaded, no ability to clone, no way to pick up where you left off. The SPA Workbench changes that fundamentally:</w:t>
      </w:r>
    </w:p>
    <w:p>
      <w:pPr>
        <w:pStyle w:val="ListBullet"/>
        <w:spacing w:after="80" w:before="0"/>
        <w:ind w:left="360"/>
      </w:pPr>
      <w:r>
        <w:rPr>
          <w:rFonts w:ascii="Calibri" w:hAnsi="Calibri"/>
          <w:b/>
          <w:i w:val="0"/>
          <w:sz w:val="22"/>
        </w:rPr>
        <w:t>Clone existing packages</w:t>
      </w:r>
      <w:r>
        <w:rPr>
          <w:rFonts w:ascii="Calibri" w:hAnsi="Calibri"/>
          <w:b w:val="0"/>
          <w:i w:val="0"/>
          <w:sz w:val="22"/>
        </w:rPr>
        <w:t xml:space="preserve"> — one of the most common packaging tasks (new version of an existing app) is reduced from a multi-step, copy-paste exercise across two browser windows to a single "Clone Title" operation. This is functionality Intune does not have natively and that was available in Configuration Manager.</w:t>
      </w:r>
    </w:p>
    <w:p>
      <w:pPr>
        <w:pStyle w:val="ListBullet"/>
        <w:spacing w:after="80" w:before="0"/>
        <w:ind w:left="360"/>
      </w:pPr>
      <w:r>
        <w:rPr>
          <w:rFonts w:ascii="Calibri" w:hAnsi="Calibri"/>
          <w:b/>
          <w:i w:val="0"/>
          <w:sz w:val="22"/>
        </w:rPr>
        <w:t>Automated .intunewin generation</w:t>
      </w:r>
      <w:r>
        <w:rPr>
          <w:rFonts w:ascii="Calibri" w:hAnsi="Calibri"/>
          <w:b w:val="0"/>
          <w:i w:val="0"/>
          <w:sz w:val="22"/>
        </w:rPr>
        <w:t xml:space="preserve"> — packagers no longer follow the manual preparation process. It runs automatically as part of the pipeline.</w:t>
      </w:r>
    </w:p>
    <w:p>
      <w:pPr>
        <w:pStyle w:val="ListBullet"/>
        <w:spacing w:after="80" w:before="0"/>
        <w:ind w:left="360"/>
      </w:pPr>
      <w:r>
        <w:rPr>
          <w:rFonts w:ascii="Calibri" w:hAnsi="Calibri"/>
          <w:b/>
          <w:i w:val="0"/>
          <w:sz w:val="22"/>
        </w:rPr>
        <w:t>Guided scaffolding for new titles</w:t>
      </w:r>
      <w:r>
        <w:rPr>
          <w:rFonts w:ascii="Calibri" w:hAnsi="Calibri"/>
          <w:b w:val="0"/>
          <w:i w:val="0"/>
          <w:sz w:val="22"/>
        </w:rPr>
        <w:t xml:space="preserve"> — the workbench steps packagers through every phase: installer details, detection rules, PSADT lifecycle actions, Intune metadata. Nothing is skipped or left to tribal knowledge.</w:t>
      </w:r>
    </w:p>
    <w:p>
      <w:pPr>
        <w:pStyle w:val="ListBullet"/>
        <w:spacing w:after="80" w:before="0"/>
        <w:ind w:left="360"/>
      </w:pPr>
      <w:r>
        <w:rPr>
          <w:rFonts w:ascii="Calibri" w:hAnsi="Calibri"/>
          <w:b/>
          <w:i w:val="0"/>
          <w:sz w:val="22"/>
        </w:rPr>
        <w:t>PSADT v4 always enforced</w:t>
      </w:r>
      <w:r>
        <w:rPr>
          <w:rFonts w:ascii="Calibri" w:hAnsi="Calibri"/>
          <w:b w:val="0"/>
          <w:i w:val="0"/>
          <w:sz w:val="22"/>
        </w:rPr>
        <w:t xml:space="preserve"> — packagers cannot accidentally use outdated templates. The latest approved version with EUC-approved configuration is applied automatically. Existing v3 scripts are converted automatically — a conversion capability more robust than PSADT's own tools, tested on the most complex real-world scripts.</w:t>
      </w:r>
    </w:p>
    <w:p>
      <w:pPr>
        <w:pStyle w:val="ListBullet"/>
        <w:spacing w:after="80" w:before="0"/>
        <w:ind w:left="360"/>
      </w:pPr>
      <w:r>
        <w:rPr>
          <w:rFonts w:ascii="Calibri" w:hAnsi="Calibri"/>
          <w:b/>
          <w:i w:val="0"/>
          <w:sz w:val="22"/>
        </w:rPr>
        <w:t>GitLab as the single source of truth</w:t>
      </w:r>
      <w:r>
        <w:rPr>
          <w:rFonts w:ascii="Calibri" w:hAnsi="Calibri"/>
          <w:b w:val="0"/>
          <w:i w:val="0"/>
          <w:sz w:val="22"/>
        </w:rPr>
        <w:t xml:space="preserve"> — every version of every package is stored, versioned, and retrievable. Packagers no longer search file shares. One packager can pick up where another left off.</w:t>
      </w:r>
    </w:p>
    <w:p>
      <w:pPr>
        <w:pStyle w:val="ListBullet"/>
        <w:spacing w:after="80" w:before="0"/>
        <w:ind w:left="360"/>
      </w:pPr>
      <w:r>
        <w:rPr>
          <w:rFonts w:ascii="Calibri" w:hAnsi="Calibri"/>
          <w:b/>
          <w:i w:val="0"/>
          <w:sz w:val="22"/>
        </w:rPr>
        <w:t>Incremental saves, not all-or-nothing</w:t>
      </w:r>
      <w:r>
        <w:rPr>
          <w:rFonts w:ascii="Calibri" w:hAnsi="Calibri"/>
          <w:b w:val="0"/>
          <w:i w:val="0"/>
          <w:sz w:val="22"/>
        </w:rPr>
        <w:t xml:space="preserve"> — unlike Intune, the workbench lets packagers commit partial work and return to it. A project does not need to be complete before it is saved.</w:t>
      </w:r>
    </w:p>
    <w:p>
      <w:pPr>
        <w:pStyle w:val="ListBullet"/>
        <w:spacing w:after="80" w:before="0"/>
        <w:ind w:left="360"/>
      </w:pPr>
      <w:r>
        <w:rPr>
          <w:rFonts w:ascii="Calibri" w:hAnsi="Calibri"/>
          <w:b/>
          <w:i w:val="0"/>
          <w:sz w:val="22"/>
        </w:rPr>
        <w:t>Visual Action Builder</w:t>
      </w:r>
      <w:r>
        <w:rPr>
          <w:rFonts w:ascii="Calibri" w:hAnsi="Calibri"/>
          <w:b w:val="0"/>
          <w:i w:val="0"/>
          <w:sz w:val="22"/>
        </w:rPr>
        <w:t xml:space="preserve"> — simple apps can be packaged in minutes. Complex, multi-step deployment scripts can be constructed through a UI without writing raw PowerShell from scratch.</w:t>
      </w:r>
    </w:p>
    <w:p>
      <w:pPr>
        <w:pStyle w:val="ListBullet"/>
        <w:spacing w:after="80" w:before="0"/>
        <w:ind w:left="360"/>
      </w:pPr>
      <w:r>
        <w:rPr>
          <w:rFonts w:ascii="Calibri" w:hAnsi="Calibri"/>
          <w:b/>
          <w:i w:val="0"/>
          <w:sz w:val="22"/>
        </w:rPr>
        <w:t>One-click publish</w:t>
      </w:r>
      <w:r>
        <w:rPr>
          <w:rFonts w:ascii="Calibri" w:hAnsi="Calibri"/>
          <w:b w:val="0"/>
          <w:i w:val="0"/>
          <w:sz w:val="22"/>
        </w:rPr>
        <w:t xml:space="preserve"> — once a project is complete, publishing to Intune (create or update) is a single action. The pipeline handles the rest.</w:t>
      </w:r>
    </w:p>
    <w:p/>
    <w:p>
      <w:pPr>
        <w:spacing w:after="280" w:before="0"/>
      </w:pPr>
      <w:r>
        <w:rPr>
          <w:rFonts w:ascii="Calibri" w:hAnsi="Calibri"/>
          <w:b w:val="0"/>
          <w:i w:val="0"/>
          <w:sz w:val="22"/>
        </w:rPr>
        <w:t>This is the packaging layer. It is built, it works, and it meaningfully reduces the effort and variability involved in creating and maintaining packages. The workbench already knows the state of every package — when it was built, what version was published, what Intune App ID it received. Connecting that state back to an authoritative software catalog is largely a matter of wiring the workbench to call back and update the catalog record at each stage. The integration points are already designed. The catalog itself is what we need to finalize together.</w:t>
      </w:r>
    </w:p>
    <w:p>
      <w:pPr>
        <w:spacing w:before="320" w:after="80"/>
      </w:pPr>
      <w:r>
        <w:rPr>
          <w:rFonts w:ascii="Calibri" w:hAnsi="Calibri"/>
          <w:b/>
          <w:i w:val="0"/>
          <w:color w:val="276FBF"/>
          <w:sz w:val="26"/>
        </w:rPr>
        <w:t>Summary — what we are asking for</w:t>
      </w:r>
    </w:p>
    <w:p>
      <w:pPr>
        <w:spacing w:after="160" w:before="0"/>
      </w:pPr>
      <w:r>
        <w:rPr>
          <w:rFonts w:ascii="Calibri" w:hAnsi="Calibri"/>
          <w:b w:val="0"/>
          <w:i w:val="0"/>
          <w:sz w:val="22"/>
        </w:rPr>
        <w:t>We would welcome three working sessions in the near term:</w:t>
      </w:r>
    </w:p>
    <w:p>
      <w:pPr>
        <w:pStyle w:val="ListNumber"/>
        <w:spacing w:after="120"/>
        <w:ind w:left="360"/>
      </w:pPr>
      <w:r>
        <w:rPr>
          <w:rFonts w:ascii="Calibri" w:hAnsi="Calibri"/>
          <w:b/>
          <w:i w:val="0"/>
          <w:sz w:val="22"/>
        </w:rPr>
        <w:t xml:space="preserve">Intake and catalog design session — </w:t>
      </w:r>
      <w:r>
        <w:rPr>
          <w:rFonts w:ascii="Calibri" w:hAnsi="Calibri"/>
          <w:b w:val="0"/>
          <w:i w:val="0"/>
          <w:sz w:val="22"/>
        </w:rPr>
        <w:t>Walk through the proposed Teams / Power Automate approach to governance workflows and the software catalog model. We want your team's input on what the right data model looks like, how approval states and version constraints should be managed, and what the requestor experience should feel like.</w:t>
      </w:r>
    </w:p>
    <w:p>
      <w:pPr>
        <w:pStyle w:val="ListNumber"/>
        <w:spacing w:after="120"/>
        <w:ind w:left="360"/>
      </w:pPr>
      <w:r>
        <w:rPr>
          <w:rFonts w:ascii="Calibri" w:hAnsi="Calibri"/>
          <w:b/>
          <w:i w:val="0"/>
          <w:sz w:val="22"/>
        </w:rPr>
        <w:t xml:space="preserve">Current-state process mapping — </w:t>
      </w:r>
      <w:r>
        <w:rPr>
          <w:rFonts w:ascii="Calibri" w:hAnsi="Calibri"/>
          <w:b w:val="0"/>
          <w:i w:val="0"/>
          <w:sz w:val="22"/>
        </w:rPr>
        <w:t>A joint session with EUC (and HCL if appropriate) to map the current intake and packaging process step by step. This gives us a shared baseline to measure against and surfaces the specific steps we can target for elimination.</w:t>
      </w:r>
    </w:p>
    <w:p>
      <w:pPr>
        <w:pStyle w:val="ListNumber"/>
        <w:spacing w:after="120"/>
        <w:ind w:left="360"/>
      </w:pPr>
      <w:r>
        <w:rPr>
          <w:rFonts w:ascii="Calibri" w:hAnsi="Calibri"/>
          <w:b/>
          <w:i w:val="0"/>
          <w:sz w:val="22"/>
        </w:rPr>
        <w:t xml:space="preserve">Operating model and ownership conversation — </w:t>
      </w:r>
      <w:r>
        <w:rPr>
          <w:rFonts w:ascii="Calibri" w:hAnsi="Calibri"/>
          <w:b w:val="0"/>
          <w:i w:val="0"/>
          <w:sz w:val="22"/>
        </w:rPr>
        <w:t>A conversation with the right stakeholders to define post-transition ownership, documentation expectations, and how support will work after the project closes.</w:t>
      </w:r>
    </w:p>
    <w:p/>
    <w:p>
      <w:pPr>
        <w:spacing w:after="200" w:before="0"/>
      </w:pPr>
      <w:r>
        <w:rPr>
          <w:rFonts w:ascii="Calibri" w:hAnsi="Calibri"/>
          <w:b w:val="0"/>
          <w:i w:val="0"/>
          <w:sz w:val="22"/>
        </w:rPr>
        <w:t>Throughout this initiative, we have invested heavily in documentation, architecture design, and sharing our thinking — the design document, integration guides, schema references, and workbench guides exist precisely because we have been trying to create opportunities for meaningful input. We recognise that joint working sessions have been harder to schedule than either side would have liked, and we want to make that a priority going forward. We are not asking for more patience — we are asking for dedicated time, on a regular cadence, so we can move through the remaining decisions together rather than in isolation.</w:t>
      </w:r>
    </w:p>
    <w:p>
      <w:pPr>
        <w:spacing w:after="280" w:before="0"/>
      </w:pPr>
      <w:r>
        <w:rPr>
          <w:rFonts w:ascii="Calibri" w:hAnsi="Calibri"/>
          <w:b w:val="0"/>
          <w:i w:val="0"/>
          <w:sz w:val="22"/>
        </w:rPr>
        <w:t>Looking forward to continuing the conversation.</w:t>
      </w:r>
    </w:p>
    <w:p>
      <w:pPr>
        <w:spacing w:after="120" w:before="0"/>
      </w:pPr>
      <w:r>
        <w:rPr>
          <w:rFonts w:ascii="Calibri" w:hAnsi="Calibri"/>
          <w:b w:val="0"/>
          <w:i/>
          <w:color w:val="404040"/>
          <w:sz w:val="22"/>
        </w:rPr>
        <w:t>— [Your Name], EUC Software Delivery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