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val="0"/>
        <w:spacing w:before="1800"/>
        <w:jc w:val="center"/>
      </w:pPr>
      <w:r>
        <w:rPr>
          <w:b/>
          <w:color w:val="0F243E"/>
          <w:sz w:val="50"/>
        </w:rPr>
        <w:t>EUC Audit Readiness Reporting and Automation</w:t>
      </w:r>
    </w:p>
    <w:p>
      <w:pPr>
        <w:keepLines w:val="0"/>
        <w:jc w:val="center"/>
      </w:pPr>
      <w:r>
        <w:rPr>
          <w:b/>
          <w:color w:val="1F4E78"/>
          <w:sz w:val="40"/>
        </w:rPr>
        <w:t>Architecture Approach</w:t>
      </w:r>
    </w:p>
    <w:p>
      <w:pPr>
        <w:pStyle w:val="SubtitleCustom"/>
        <w:keepLines w:val="0"/>
        <w:jc w:val="center"/>
      </w:pPr>
      <w:r>
        <w:t>Device Configuration | Encryption | Vulnerability | Patch | Asset Lifecycle | Software Lifecycle | Evidence Repository</w:t>
      </w:r>
    </w:p>
    <w:p>
      <w:pPr>
        <w:keepLines w:val="0"/>
      </w:pPr>
      <w:r>
        <w:br/>
      </w:r>
    </w:p>
    <w:tbl>
      <w:tblPr>
        <w:tblW w:type="auto" w:w="0"/>
        <w:jc w:val="center"/>
        <w:tblLook w:firstColumn="1" w:firstRow="1" w:lastColumn="0" w:lastRow="0" w:noHBand="0" w:noVBand="1" w:val="04A0"/>
      </w:tblPr>
      <w:tblGrid>
        <w:gridCol w:w="10080"/>
      </w:tblGrid>
      <w:tr>
        <w:tc>
          <w:tcPr>
            <w:tcW w:type="dxa" w:w="10080"/>
            <w:shd w:fill="EAF2F8"/>
            <w:tcMar>
              <w:top w:w="120" w:type="dxa"/>
              <w:start w:w="140" w:type="dxa"/>
              <w:bottom w:w="120" w:type="dxa"/>
              <w:end w:w="140" w:type="dxa"/>
            </w:tcMar>
          </w:tcPr>
          <w:p>
            <w:r>
              <w:rPr>
                <w:b/>
                <w:color w:val="1F4E78"/>
              </w:rPr>
              <w:t>Document purpose</w:t>
              <w:br/>
            </w:r>
            <w:r>
              <w:t>Define the recommended architecture, data model, integration pattern, governance controls, and phased implementation approach for a repeatable EUC audit-readiness reporting capability.</w:t>
            </w:r>
          </w:p>
        </w:tc>
      </w:tr>
    </w:tbl>
    <w:p>
      <w:pPr>
        <w:keepLines w:val="0"/>
      </w:pPr>
    </w:p>
    <w:p>
      <w:pPr>
        <w:keepLines w:val="0"/>
        <w:spacing w:before="2000"/>
        <w:jc w:val="center"/>
      </w:pPr>
      <w:r>
        <w:rPr>
          <w:b/>
        </w:rPr>
        <w:t>Prepared for: Fiserv End User Computing</w:t>
      </w:r>
    </w:p>
    <w:p>
      <w:pPr>
        <w:keepLines w:val="0"/>
        <w:jc w:val="center"/>
      </w:pPr>
      <w:r>
        <w:t>Prepared by: Alldyn Group</w:t>
      </w:r>
    </w:p>
    <w:p>
      <w:pPr>
        <w:keepLines w:val="0"/>
        <w:jc w:val="center"/>
      </w:pPr>
      <w:r>
        <w:t>Date: July 2026</w:t>
      </w:r>
    </w:p>
    <w:p>
      <w:pPr>
        <w:keepLines w:val="0"/>
      </w:pPr>
      <w:r>
        <w:br w:type="page"/>
      </w:r>
    </w:p>
    <w:p>
      <w:pPr>
        <w:pStyle w:val="Heading1"/>
        <w:keepLines w:val="0"/>
      </w:pPr>
      <w:r>
        <w:t>Table of Contents</w:t>
      </w:r>
    </w:p>
    <w:p>
      <w:pPr>
        <w:keepLines w:val="0"/>
        <w:ind w:left="288"/>
      </w:pPr>
      <w:r>
        <w:t>1. Executive Summary</w:t>
      </w:r>
    </w:p>
    <w:p>
      <w:pPr>
        <w:keepLines w:val="0"/>
        <w:ind w:left="288"/>
      </w:pPr>
      <w:r>
        <w:t>2. Architecture Principles</w:t>
      </w:r>
    </w:p>
    <w:p>
      <w:pPr>
        <w:keepLines w:val="0"/>
        <w:ind w:left="288"/>
      </w:pPr>
      <w:r>
        <w:t>3. Target Solution Architecture</w:t>
      </w:r>
    </w:p>
    <w:p>
      <w:pPr>
        <w:keepLines w:val="0"/>
        <w:ind w:left="288"/>
      </w:pPr>
      <w:r>
        <w:t>4. Data Source and Integration Architecture</w:t>
      </w:r>
    </w:p>
    <w:p>
      <w:pPr>
        <w:keepLines w:val="0"/>
        <w:ind w:left="288"/>
      </w:pPr>
      <w:r>
        <w:t>5. Canonical Reporting Data Model</w:t>
      </w:r>
    </w:p>
    <w:p>
      <w:pPr>
        <w:keepLines w:val="0"/>
        <w:ind w:left="288"/>
      </w:pPr>
      <w:r>
        <w:t>6. Device Identity and Data Correlation</w:t>
      </w:r>
    </w:p>
    <w:p>
      <w:pPr>
        <w:keepLines w:val="0"/>
        <w:ind w:left="288"/>
      </w:pPr>
      <w:r>
        <w:t>7. Power BI Semantic and Presentation Architecture</w:t>
      </w:r>
    </w:p>
    <w:p>
      <w:pPr>
        <w:keepLines w:val="0"/>
        <w:ind w:left="288"/>
      </w:pPr>
      <w:r>
        <w:t>8. Security, Access, and Compliance</w:t>
      </w:r>
    </w:p>
    <w:p>
      <w:pPr>
        <w:keepLines w:val="0"/>
        <w:ind w:left="288"/>
      </w:pPr>
      <w:r>
        <w:t>9. Evidence Repository Architecture</w:t>
      </w:r>
    </w:p>
    <w:p>
      <w:pPr>
        <w:keepLines w:val="0"/>
        <w:ind w:left="288"/>
      </w:pPr>
      <w:r>
        <w:t>10. Data Quality and Operational Controls</w:t>
      </w:r>
    </w:p>
    <w:p>
      <w:pPr>
        <w:keepLines w:val="0"/>
        <w:ind w:left="288"/>
      </w:pPr>
      <w:r>
        <w:t>11. Delivery Phases</w:t>
      </w:r>
    </w:p>
    <w:p>
      <w:pPr>
        <w:keepLines w:val="0"/>
        <w:ind w:left="288"/>
      </w:pPr>
      <w:r>
        <w:t>12. Roles and Governance</w:t>
      </w:r>
    </w:p>
    <w:p>
      <w:pPr>
        <w:keepLines w:val="0"/>
        <w:ind w:left="288"/>
      </w:pPr>
      <w:r>
        <w:t>13. Risks and Mitigations</w:t>
      </w:r>
    </w:p>
    <w:p>
      <w:pPr>
        <w:keepLines w:val="0"/>
        <w:ind w:left="288"/>
      </w:pPr>
      <w:r>
        <w:t>14. Success Criteria and Recommended Next Steps</w:t>
      </w:r>
    </w:p>
    <w:p>
      <w:pPr>
        <w:keepLines w:val="0"/>
      </w:pPr>
      <w:r>
        <w:br w:type="page"/>
      </w:r>
    </w:p>
    <w:p>
      <w:pPr>
        <w:pStyle w:val="Heading1"/>
        <w:keepLines w:val="0"/>
      </w:pPr>
      <w:r>
        <w:t>1. Executive Summary</w:t>
      </w:r>
    </w:p>
    <w:p>
      <w:pPr>
        <w:keepLines w:val="0"/>
      </w:pPr>
      <w:r>
        <w:t>The recommended solution is a reusable EUC audit-readiness data product rather than a collection of independently built reports. The architecture consolidates endpoint, security, lifecycle, software, exception, and evidence data into a governed reporting model that can support operational monitoring, recurring audit requests, and point-in-time evidence production.</w:t>
      </w:r>
    </w:p>
    <w:p>
      <w:pPr>
        <w:keepLines w:val="0"/>
      </w:pPr>
      <w:r>
        <w:t>The solution should use the Cyber data lake as the primary integration and historical retention layer. Power BI should consume curated reporting tables and should not be responsible for source-system correlation, historical retention, or complex compliance-rule execution. This separation allows audit logic to be repeatable, traceable, and independently validated.</w:t>
      </w:r>
    </w:p>
    <w:p>
      <w:pPr>
        <w:pStyle w:val="ListBullet"/>
        <w:keepLines w:val="0"/>
        <w:spacing w:after="40"/>
      </w:pPr>
      <w:r>
        <w:t>Create a canonical device identity that reconciles Intune, JAMF, MDM, CrowdStrike, Tanium, Tenable, ServiceNow, and other records.</w:t>
      </w:r>
    </w:p>
    <w:p>
      <w:pPr>
        <w:pStyle w:val="ListBullet"/>
        <w:keepLines w:val="0"/>
        <w:spacing w:after="40"/>
      </w:pPr>
      <w:r>
        <w:t>Retain historical snapshots so prior audit periods can be reproduced exactly.</w:t>
      </w:r>
    </w:p>
    <w:p>
      <w:pPr>
        <w:pStyle w:val="ListBullet"/>
        <w:keepLines w:val="0"/>
        <w:spacing w:after="40"/>
      </w:pPr>
      <w:r>
        <w:t>Manage control definitions, thresholds, exception rules, and remediation SLAs through governed metadata.</w:t>
      </w:r>
    </w:p>
    <w:p>
      <w:pPr>
        <w:pStyle w:val="ListBullet"/>
        <w:keepLines w:val="0"/>
        <w:spacing w:after="40"/>
      </w:pPr>
      <w:r>
        <w:t>Publish a certified Power BI semantic model that supports executive dashboards, detailed operational views, and formal evidence exports.</w:t>
      </w:r>
    </w:p>
    <w:p>
      <w:pPr>
        <w:pStyle w:val="ListBullet"/>
        <w:keepLines w:val="0"/>
        <w:spacing w:after="40"/>
      </w:pPr>
      <w:r>
        <w:t>Create a SharePoint-based repository for controlled documents, recurring evidence, process flows, and normalized RFI packages.</w:t>
      </w:r>
    </w:p>
    <w:p>
      <w:pPr>
        <w:pStyle w:val="ListBullet"/>
        <w:keepLines w:val="0"/>
        <w:spacing w:after="40"/>
      </w:pPr>
      <w:r>
        <w:t>Expose data quality and source freshness so missing data is never mistaken for compliance.</w:t>
      </w:r>
    </w:p>
    <w:tbl>
      <w:tblPr>
        <w:tblW w:type="auto" w:w="0"/>
        <w:jc w:val="center"/>
        <w:tblLook w:firstColumn="1" w:firstRow="1" w:lastColumn="0" w:lastRow="0" w:noHBand="0" w:noVBand="1" w:val="04A0"/>
      </w:tblPr>
      <w:tblGrid>
        <w:gridCol w:w="10080"/>
      </w:tblGrid>
      <w:tr>
        <w:tc>
          <w:tcPr>
            <w:tcW w:type="dxa" w:w="10080"/>
            <w:shd w:fill="EAF2F8"/>
            <w:tcMar>
              <w:top w:w="120" w:type="dxa"/>
              <w:start w:w="140" w:type="dxa"/>
              <w:bottom w:w="120" w:type="dxa"/>
              <w:end w:w="140" w:type="dxa"/>
            </w:tcMar>
          </w:tcPr>
          <w:p>
            <w:r>
              <w:rPr>
                <w:b/>
                <w:color w:val="1F4E78"/>
              </w:rPr>
              <w:t>Recommended architecture decision</w:t>
              <w:br/>
            </w:r>
            <w:r>
              <w:t>Use the data lake and curated reporting layer as the system of record for reporting logic. Use Power BI as the semantic, visualization, and consumption layer. Use SharePoint as the controlled evidence and documentation repository.</w:t>
            </w:r>
          </w:p>
        </w:tc>
      </w:tr>
    </w:tbl>
    <w:p>
      <w:pPr>
        <w:keepLines w:val="0"/>
      </w:pPr>
    </w:p>
    <w:p>
      <w:pPr>
        <w:pStyle w:val="Heading1"/>
        <w:keepLines w:val="0"/>
      </w:pPr>
      <w:r>
        <w:t>2. Architecture Principles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024"/>
            <w:shd w:fill="1F4E78"/>
            <w:vAlign w:val="center"/>
            <w:tcMar>
              <w:top w:w="80" w:type="dxa"/>
              <w:start w:w="80" w:type="dxa"/>
              <w:bottom w:w="80" w:type="dxa"/>
              <w:end w:w="80" w:type="dxa"/>
            </w:tcMar>
          </w:tcPr>
          <w:p>
            <w:pPr>
              <w:jc w:val="center"/>
            </w:pPr>
            <w:r>
              <w:rPr>
                <w:b/>
                <w:color w:val="FFFFFF"/>
                <w:sz w:val="18"/>
              </w:rPr>
              <w:t>Principle</w:t>
            </w:r>
          </w:p>
        </w:tc>
        <w:tc>
          <w:tcPr>
            <w:tcW w:type="dxa" w:w="8352"/>
            <w:shd w:fill="1F4E78"/>
            <w:vAlign w:val="center"/>
            <w:tcMar>
              <w:top w:w="80" w:type="dxa"/>
              <w:start w:w="80" w:type="dxa"/>
              <w:bottom w:w="80" w:type="dxa"/>
              <w:end w:w="80" w:type="dxa"/>
            </w:tcMar>
          </w:tcPr>
          <w:p>
            <w:pPr>
              <w:jc w:val="center"/>
            </w:pPr>
            <w:r>
              <w:rPr>
                <w:b/>
                <w:color w:val="FFFFFF"/>
                <w:sz w:val="18"/>
              </w:rPr>
              <w:t>Application</w:t>
            </w:r>
          </w:p>
        </w:tc>
      </w:tr>
      <w:tr>
        <w:tc>
          <w:tcPr>
            <w:tcW w:type="dxa" w:w="3024"/>
            <w:vAlign w:val="top"/>
            <w:tcMar>
              <w:top w:w="80" w:type="dxa"/>
              <w:start w:w="80" w:type="dxa"/>
              <w:bottom w:w="80" w:type="dxa"/>
              <w:end w:w="80" w:type="dxa"/>
            </w:tcMar>
          </w:tcPr>
          <w:p>
            <w:r>
              <w:rPr>
                <w:sz w:val="17"/>
              </w:rPr>
              <w:t>Authoritative-source alignment</w:t>
            </w:r>
          </w:p>
        </w:tc>
        <w:tc>
          <w:tcPr>
            <w:tcW w:type="dxa" w:w="8352"/>
            <w:vAlign w:val="top"/>
            <w:tcMar>
              <w:top w:w="80" w:type="dxa"/>
              <w:start w:w="80" w:type="dxa"/>
              <w:bottom w:w="80" w:type="dxa"/>
              <w:end w:w="80" w:type="dxa"/>
            </w:tcMar>
          </w:tcPr>
          <w:p>
            <w:r>
              <w:rPr>
                <w:sz w:val="17"/>
              </w:rPr>
              <w:t>Each attribute and control must have an identified authoritative source. Where sources conflict, precedence rules must be documented.</w:t>
            </w:r>
          </w:p>
        </w:tc>
      </w:tr>
      <w:tr>
        <w:tc>
          <w:tcPr>
            <w:tcW w:type="dxa" w:w="3024"/>
            <w:vAlign w:val="top"/>
            <w:tcMar>
              <w:top w:w="80" w:type="dxa"/>
              <w:start w:w="80" w:type="dxa"/>
              <w:bottom w:w="80" w:type="dxa"/>
              <w:end w:w="80" w:type="dxa"/>
            </w:tcMar>
          </w:tcPr>
          <w:p>
            <w:r>
              <w:rPr>
                <w:sz w:val="17"/>
              </w:rPr>
              <w:t>Historical reproducibility</w:t>
            </w:r>
          </w:p>
        </w:tc>
        <w:tc>
          <w:tcPr>
            <w:tcW w:type="dxa" w:w="8352"/>
            <w:vAlign w:val="top"/>
            <w:tcMar>
              <w:top w:w="80" w:type="dxa"/>
              <w:start w:w="80" w:type="dxa"/>
              <w:bottom w:w="80" w:type="dxa"/>
              <w:end w:w="80" w:type="dxa"/>
            </w:tcMar>
          </w:tcPr>
          <w:p>
            <w:r>
              <w:rPr>
                <w:sz w:val="17"/>
              </w:rPr>
              <w:t>Audit evidence must be reproducible for a prior date or reporting period. Current-state APIs alone are insufficient.</w:t>
            </w:r>
          </w:p>
        </w:tc>
      </w:tr>
      <w:tr>
        <w:tc>
          <w:tcPr>
            <w:tcW w:type="dxa" w:w="3024"/>
            <w:vAlign w:val="top"/>
            <w:tcMar>
              <w:top w:w="80" w:type="dxa"/>
              <w:start w:w="80" w:type="dxa"/>
              <w:bottom w:w="80" w:type="dxa"/>
              <w:end w:w="80" w:type="dxa"/>
            </w:tcMar>
          </w:tcPr>
          <w:p>
            <w:r>
              <w:rPr>
                <w:sz w:val="17"/>
              </w:rPr>
              <w:t>Metadata-driven controls</w:t>
            </w:r>
          </w:p>
        </w:tc>
        <w:tc>
          <w:tcPr>
            <w:tcW w:type="dxa" w:w="8352"/>
            <w:vAlign w:val="top"/>
            <w:tcMar>
              <w:top w:w="80" w:type="dxa"/>
              <w:start w:w="80" w:type="dxa"/>
              <w:bottom w:w="80" w:type="dxa"/>
              <w:end w:w="80" w:type="dxa"/>
            </w:tcMar>
          </w:tcPr>
          <w:p>
            <w:r>
              <w:rPr>
                <w:sz w:val="17"/>
              </w:rPr>
              <w:t>Controls, thresholds, expected values, applicability, and remediation SLAs should be maintained as data instead of embedded across report visuals.</w:t>
            </w:r>
          </w:p>
        </w:tc>
      </w:tr>
      <w:tr>
        <w:tc>
          <w:tcPr>
            <w:tcW w:type="dxa" w:w="3024"/>
            <w:vAlign w:val="top"/>
            <w:tcMar>
              <w:top w:w="80" w:type="dxa"/>
              <w:start w:w="80" w:type="dxa"/>
              <w:bottom w:w="80" w:type="dxa"/>
              <w:end w:w="80" w:type="dxa"/>
            </w:tcMar>
          </w:tcPr>
          <w:p>
            <w:r>
              <w:rPr>
                <w:sz w:val="17"/>
              </w:rPr>
              <w:t>Traceability</w:t>
            </w:r>
          </w:p>
        </w:tc>
        <w:tc>
          <w:tcPr>
            <w:tcW w:type="dxa" w:w="8352"/>
            <w:vAlign w:val="top"/>
            <w:tcMar>
              <w:top w:w="80" w:type="dxa"/>
              <w:start w:w="80" w:type="dxa"/>
              <w:bottom w:w="80" w:type="dxa"/>
              <w:end w:w="80" w:type="dxa"/>
            </w:tcMar>
          </w:tcPr>
          <w:p>
            <w:r>
              <w:rPr>
                <w:sz w:val="17"/>
              </w:rPr>
              <w:t>Every dashboard metric and evidence row should retain the originating source system, source record, collection timestamp, and transformation version.</w:t>
            </w:r>
          </w:p>
        </w:tc>
      </w:tr>
      <w:tr>
        <w:tc>
          <w:tcPr>
            <w:tcW w:type="dxa" w:w="3024"/>
            <w:vAlign w:val="top"/>
            <w:tcMar>
              <w:top w:w="80" w:type="dxa"/>
              <w:start w:w="80" w:type="dxa"/>
              <w:bottom w:w="80" w:type="dxa"/>
              <w:end w:w="80" w:type="dxa"/>
            </w:tcMar>
          </w:tcPr>
          <w:p>
            <w:r>
              <w:rPr>
                <w:sz w:val="17"/>
              </w:rPr>
              <w:t>Separation of concerns</w:t>
            </w:r>
          </w:p>
        </w:tc>
        <w:tc>
          <w:tcPr>
            <w:tcW w:type="dxa" w:w="8352"/>
            <w:vAlign w:val="top"/>
            <w:tcMar>
              <w:top w:w="80" w:type="dxa"/>
              <w:start w:w="80" w:type="dxa"/>
              <w:bottom w:w="80" w:type="dxa"/>
              <w:end w:w="80" w:type="dxa"/>
            </w:tcMar>
          </w:tcPr>
          <w:p>
            <w:r>
              <w:rPr>
                <w:sz w:val="17"/>
              </w:rPr>
              <w:t>Ingestion, normalization, compliance evaluation, semantic modeling, visualization, and evidence retention should be separate architectural layers.</w:t>
            </w:r>
          </w:p>
        </w:tc>
      </w:tr>
      <w:tr>
        <w:tc>
          <w:tcPr>
            <w:tcW w:type="dxa" w:w="3024"/>
            <w:vAlign w:val="top"/>
            <w:tcMar>
              <w:top w:w="80" w:type="dxa"/>
              <w:start w:w="80" w:type="dxa"/>
              <w:bottom w:w="80" w:type="dxa"/>
              <w:end w:w="80" w:type="dxa"/>
            </w:tcMar>
          </w:tcPr>
          <w:p>
            <w:r>
              <w:rPr>
                <w:sz w:val="17"/>
              </w:rPr>
              <w:t>Data-quality transparency</w:t>
            </w:r>
          </w:p>
        </w:tc>
        <w:tc>
          <w:tcPr>
            <w:tcW w:type="dxa" w:w="8352"/>
            <w:vAlign w:val="top"/>
            <w:tcMar>
              <w:top w:w="80" w:type="dxa"/>
              <w:start w:w="80" w:type="dxa"/>
              <w:bottom w:w="80" w:type="dxa"/>
              <w:end w:w="80" w:type="dxa"/>
            </w:tcMar>
          </w:tcPr>
          <w:p>
            <w:r>
              <w:rPr>
                <w:sz w:val="17"/>
              </w:rPr>
              <w:t>Unknown, stale, unmatched, and not-applicable records must be reported explicitly rather than forced into compliant or non-compliant status.</w:t>
            </w:r>
          </w:p>
        </w:tc>
      </w:tr>
      <w:tr>
        <w:tc>
          <w:tcPr>
            <w:tcW w:type="dxa" w:w="3024"/>
            <w:vAlign w:val="top"/>
            <w:tcMar>
              <w:top w:w="80" w:type="dxa"/>
              <w:start w:w="80" w:type="dxa"/>
              <w:bottom w:w="80" w:type="dxa"/>
              <w:end w:w="80" w:type="dxa"/>
            </w:tcMar>
          </w:tcPr>
          <w:p>
            <w:r>
              <w:rPr>
                <w:sz w:val="17"/>
              </w:rPr>
              <w:t>Reusable semantic model</w:t>
            </w:r>
          </w:p>
        </w:tc>
        <w:tc>
          <w:tcPr>
            <w:tcW w:type="dxa" w:w="8352"/>
            <w:vAlign w:val="top"/>
            <w:tcMar>
              <w:top w:w="80" w:type="dxa"/>
              <w:start w:w="80" w:type="dxa"/>
              <w:bottom w:w="80" w:type="dxa"/>
              <w:end w:w="80" w:type="dxa"/>
            </w:tcMar>
          </w:tcPr>
          <w:p>
            <w:r>
              <w:rPr>
                <w:sz w:val="17"/>
              </w:rPr>
              <w:t>Common dimensions and measures should be centrally defined and reused across all dashboards.</w:t>
            </w:r>
          </w:p>
        </w:tc>
      </w:tr>
      <w:tr>
        <w:tc>
          <w:tcPr>
            <w:tcW w:type="dxa" w:w="3024"/>
            <w:vAlign w:val="top"/>
            <w:tcMar>
              <w:top w:w="80" w:type="dxa"/>
              <w:start w:w="80" w:type="dxa"/>
              <w:bottom w:w="80" w:type="dxa"/>
              <w:end w:w="80" w:type="dxa"/>
            </w:tcMar>
          </w:tcPr>
          <w:p>
            <w:r>
              <w:rPr>
                <w:sz w:val="17"/>
              </w:rPr>
              <w:t>Least privilege</w:t>
            </w:r>
          </w:p>
        </w:tc>
        <w:tc>
          <w:tcPr>
            <w:tcW w:type="dxa" w:w="8352"/>
            <w:vAlign w:val="top"/>
            <w:tcMar>
              <w:top w:w="80" w:type="dxa"/>
              <w:start w:w="80" w:type="dxa"/>
              <w:bottom w:w="80" w:type="dxa"/>
              <w:end w:w="80" w:type="dxa"/>
            </w:tcMar>
          </w:tcPr>
          <w:p>
            <w:r>
              <w:rPr>
                <w:sz w:val="17"/>
              </w:rPr>
              <w:t>Access to source data, dashboards, and exported evidence must follow business need, data classification, and row-level security requirements.</w:t>
            </w:r>
          </w:p>
        </w:tc>
      </w:tr>
    </w:tbl>
    <w:p>
      <w:pPr>
        <w:keepLines w:val="0"/>
      </w:pPr>
    </w:p>
    <w:p>
      <w:pPr>
        <w:pStyle w:val="Heading1"/>
        <w:keepLines w:val="0"/>
      </w:pPr>
      <w:r>
        <w:t>3. Target Solution Architecture</w:t>
      </w:r>
    </w:p>
    <w:tbl>
      <w:tblPr>
        <w:tblStyle w:val="TableGrid"/>
        <w:tblW w:type="auto" w:w="0"/>
        <w:jc w:val="center"/>
        <w:tblLook w:firstColumn="1" w:firstRow="1" w:lastColumn="0" w:lastRow="0" w:noHBand="0" w:noVBand="1" w:val="04A0"/>
      </w:tblPr>
      <w:tblGrid>
        <w:gridCol w:w="10080"/>
      </w:tblGrid>
      <w:tr>
        <w:tc>
          <w:tcPr>
            <w:tcW w:type="dxa" w:w="10080"/>
            <w:shd w:fill="D9EAF7"/>
            <w:tcMar>
              <w:top w:w="140" w:type="dxa"/>
              <w:start w:w="160" w:type="dxa"/>
              <w:bottom w:w="140" w:type="dxa"/>
              <w:end w:w="160" w:type="dxa"/>
            </w:tcMar>
          </w:tcPr>
          <w:p>
            <w:pPr>
              <w:jc w:val="center"/>
            </w:pPr>
            <w:r>
              <w:rPr>
                <w:b/>
                <w:color w:val="1F4E78"/>
                <w:sz w:val="20"/>
              </w:rPr>
              <w:t>SOURCE SYSTEMS</w:t>
            </w:r>
            <w:r>
              <w:br/>
              <w:t>Intune | JAMF | MDM | GPO | CrowdStrike | Tanium | Tenable | Wiz | ServiceNow | SharePoint</w:t>
            </w:r>
          </w:p>
        </w:tc>
      </w:tr>
      <w:tr>
        <w:tc>
          <w:tcPr>
            <w:tcW w:type="dxa" w:w="10080"/>
            <w:shd w:fill="E2F0D9"/>
            <w:tcMar>
              <w:top w:w="140" w:type="dxa"/>
              <w:start w:w="160" w:type="dxa"/>
              <w:bottom w:w="140" w:type="dxa"/>
              <w:end w:w="160" w:type="dxa"/>
            </w:tcMar>
          </w:tcPr>
          <w:p>
            <w:pPr>
              <w:jc w:val="center"/>
            </w:pPr>
            <w:r>
              <w:rPr>
                <w:b/>
                <w:color w:val="1F4E78"/>
                <w:sz w:val="20"/>
              </w:rPr>
              <w:t>INGESTION AND LANDING</w:t>
            </w:r>
            <w:r>
              <w:br/>
              <w:t>Scheduled APIs, exports, data lake pipelines, batch metadata, source preservation</w:t>
            </w:r>
          </w:p>
        </w:tc>
      </w:tr>
      <w:tr>
        <w:tc>
          <w:tcPr>
            <w:tcW w:type="dxa" w:w="10080"/>
            <w:shd w:fill="FFF2CC"/>
            <w:tcMar>
              <w:top w:w="140" w:type="dxa"/>
              <w:start w:w="160" w:type="dxa"/>
              <w:bottom w:w="140" w:type="dxa"/>
              <w:end w:w="160" w:type="dxa"/>
            </w:tcMar>
          </w:tcPr>
          <w:p>
            <w:pPr>
              <w:jc w:val="center"/>
            </w:pPr>
            <w:r>
              <w:rPr>
                <w:b/>
                <w:color w:val="1F4E78"/>
                <w:sz w:val="20"/>
              </w:rPr>
              <w:t>NORMALIZATION AND CORRELATION</w:t>
            </w:r>
            <w:r>
              <w:br/>
              <w:t>Device identity resolution, software normalization, control mapping, organizational enrichment</w:t>
            </w:r>
          </w:p>
        </w:tc>
      </w:tr>
      <w:tr>
        <w:tc>
          <w:tcPr>
            <w:tcW w:type="dxa" w:w="10080"/>
            <w:shd w:fill="FCE4D6"/>
            <w:tcMar>
              <w:top w:w="140" w:type="dxa"/>
              <w:start w:w="160" w:type="dxa"/>
              <w:bottom w:w="140" w:type="dxa"/>
              <w:end w:w="160" w:type="dxa"/>
            </w:tcMar>
          </w:tcPr>
          <w:p>
            <w:pPr>
              <w:jc w:val="center"/>
            </w:pPr>
            <w:r>
              <w:rPr>
                <w:b/>
                <w:color w:val="1F4E78"/>
                <w:sz w:val="20"/>
              </w:rPr>
              <w:t>CURATED REPORTING LAYER</w:t>
            </w:r>
            <w:r>
              <w:br/>
              <w:t>Shared dimensions, historical snapshots, compliance facts, exceptions, evidence register</w:t>
            </w:r>
          </w:p>
        </w:tc>
      </w:tr>
      <w:tr>
        <w:tc>
          <w:tcPr>
            <w:tcW w:type="dxa" w:w="10080"/>
            <w:shd w:fill="E4DFEC"/>
            <w:tcMar>
              <w:top w:w="140" w:type="dxa"/>
              <w:start w:w="160" w:type="dxa"/>
              <w:bottom w:w="140" w:type="dxa"/>
              <w:end w:w="160" w:type="dxa"/>
            </w:tcMar>
          </w:tcPr>
          <w:p>
            <w:pPr>
              <w:jc w:val="center"/>
            </w:pPr>
            <w:r>
              <w:rPr>
                <w:b/>
                <w:color w:val="1F4E78"/>
                <w:sz w:val="20"/>
              </w:rPr>
              <w:t>POWER BI SEMANTIC MODEL</w:t>
            </w:r>
            <w:r>
              <w:br/>
              <w:t>Certified datasets, measures, row-level security, refresh monitoring, reusable audit logic</w:t>
            </w:r>
          </w:p>
        </w:tc>
      </w:tr>
      <w:tr>
        <w:tc>
          <w:tcPr>
            <w:tcW w:type="dxa" w:w="10080"/>
            <w:shd w:fill="DDEBF7"/>
            <w:tcMar>
              <w:top w:w="140" w:type="dxa"/>
              <w:start w:w="160" w:type="dxa"/>
              <w:bottom w:w="140" w:type="dxa"/>
              <w:end w:w="160" w:type="dxa"/>
            </w:tcMar>
          </w:tcPr>
          <w:p>
            <w:pPr>
              <w:jc w:val="center"/>
            </w:pPr>
            <w:r>
              <w:rPr>
                <w:b/>
                <w:color w:val="1F4E78"/>
                <w:sz w:val="20"/>
              </w:rPr>
              <w:t>CONSUMPTION</w:t>
            </w:r>
            <w:r>
              <w:br/>
              <w:t>Executive dashboards | Operational views | Audit exports | Paginated reports | Alerts | RFI evidence packages</w:t>
            </w:r>
          </w:p>
        </w:tc>
      </w:tr>
    </w:tbl>
    <w:p>
      <w:pPr>
        <w:keepLines w:val="0"/>
      </w:pPr>
    </w:p>
    <w:p>
      <w:pPr>
        <w:pStyle w:val="Heading2"/>
        <w:keepLines w:val="0"/>
      </w:pPr>
      <w:r>
        <w:t>3.1 Architectural Layers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024"/>
            <w:shd w:fill="1F4E78"/>
            <w:vAlign w:val="center"/>
            <w:tcMar>
              <w:top w:w="80" w:type="dxa"/>
              <w:start w:w="80" w:type="dxa"/>
              <w:bottom w:w="80" w:type="dxa"/>
              <w:end w:w="80" w:type="dxa"/>
            </w:tcMar>
          </w:tcPr>
          <w:p>
            <w:pPr>
              <w:jc w:val="center"/>
            </w:pPr>
            <w:r>
              <w:rPr>
                <w:b/>
                <w:color w:val="FFFFFF"/>
                <w:sz w:val="18"/>
              </w:rPr>
              <w:t>Layer</w:t>
            </w:r>
          </w:p>
        </w:tc>
        <w:tc>
          <w:tcPr>
            <w:tcW w:type="dxa" w:w="8352"/>
            <w:shd w:fill="1F4E78"/>
            <w:vAlign w:val="center"/>
            <w:tcMar>
              <w:top w:w="80" w:type="dxa"/>
              <w:start w:w="80" w:type="dxa"/>
              <w:bottom w:w="80" w:type="dxa"/>
              <w:end w:w="80" w:type="dxa"/>
            </w:tcMar>
          </w:tcPr>
          <w:p>
            <w:pPr>
              <w:jc w:val="center"/>
            </w:pPr>
            <w:r>
              <w:rPr>
                <w:b/>
                <w:color w:val="FFFFFF"/>
                <w:sz w:val="18"/>
              </w:rPr>
              <w:t>Responsibility</w:t>
            </w:r>
          </w:p>
        </w:tc>
      </w:tr>
      <w:tr>
        <w:tc>
          <w:tcPr>
            <w:tcW w:type="dxa" w:w="3024"/>
            <w:vAlign w:val="top"/>
            <w:tcMar>
              <w:top w:w="80" w:type="dxa"/>
              <w:start w:w="80" w:type="dxa"/>
              <w:bottom w:w="80" w:type="dxa"/>
              <w:end w:w="80" w:type="dxa"/>
            </w:tcMar>
          </w:tcPr>
          <w:p>
            <w:r>
              <w:rPr>
                <w:sz w:val="17"/>
              </w:rPr>
              <w:t>Source systems</w:t>
            </w:r>
          </w:p>
        </w:tc>
        <w:tc>
          <w:tcPr>
            <w:tcW w:type="dxa" w:w="8352"/>
            <w:vAlign w:val="top"/>
            <w:tcMar>
              <w:top w:w="80" w:type="dxa"/>
              <w:start w:w="80" w:type="dxa"/>
              <w:bottom w:w="80" w:type="dxa"/>
              <w:end w:w="80" w:type="dxa"/>
            </w:tcMar>
          </w:tcPr>
          <w:p>
            <w:r>
              <w:rPr>
                <w:sz w:val="17"/>
              </w:rPr>
              <w:t>Operational systems that originate device, configuration, vulnerability, lifecycle, software, exception, and document data.</w:t>
            </w:r>
          </w:p>
        </w:tc>
      </w:tr>
      <w:tr>
        <w:tc>
          <w:tcPr>
            <w:tcW w:type="dxa" w:w="3024"/>
            <w:vAlign w:val="top"/>
            <w:tcMar>
              <w:top w:w="80" w:type="dxa"/>
              <w:start w:w="80" w:type="dxa"/>
              <w:bottom w:w="80" w:type="dxa"/>
              <w:end w:w="80" w:type="dxa"/>
            </w:tcMar>
          </w:tcPr>
          <w:p>
            <w:r>
              <w:rPr>
                <w:sz w:val="17"/>
              </w:rPr>
              <w:t>Ingestion and landing</w:t>
            </w:r>
          </w:p>
        </w:tc>
        <w:tc>
          <w:tcPr>
            <w:tcW w:type="dxa" w:w="8352"/>
            <w:vAlign w:val="top"/>
            <w:tcMar>
              <w:top w:w="80" w:type="dxa"/>
              <w:start w:w="80" w:type="dxa"/>
              <w:bottom w:w="80" w:type="dxa"/>
              <w:end w:w="80" w:type="dxa"/>
            </w:tcMar>
          </w:tcPr>
          <w:p>
            <w:r>
              <w:rPr>
                <w:sz w:val="17"/>
              </w:rPr>
              <w:t>API, file, database, or platform-native ingestion into the Cyber data lake. Raw data is retained without changing the source meaning.</w:t>
            </w:r>
          </w:p>
        </w:tc>
      </w:tr>
      <w:tr>
        <w:tc>
          <w:tcPr>
            <w:tcW w:type="dxa" w:w="3024"/>
            <w:vAlign w:val="top"/>
            <w:tcMar>
              <w:top w:w="80" w:type="dxa"/>
              <w:start w:w="80" w:type="dxa"/>
              <w:bottom w:w="80" w:type="dxa"/>
              <w:end w:w="80" w:type="dxa"/>
            </w:tcMar>
          </w:tcPr>
          <w:p>
            <w:r>
              <w:rPr>
                <w:sz w:val="17"/>
              </w:rPr>
              <w:t>Normalization and correlation</w:t>
            </w:r>
          </w:p>
        </w:tc>
        <w:tc>
          <w:tcPr>
            <w:tcW w:type="dxa" w:w="8352"/>
            <w:vAlign w:val="top"/>
            <w:tcMar>
              <w:top w:w="80" w:type="dxa"/>
              <w:start w:w="80" w:type="dxa"/>
              <w:bottom w:w="80" w:type="dxa"/>
              <w:end w:w="80" w:type="dxa"/>
            </w:tcMar>
          </w:tcPr>
          <w:p>
            <w:r>
              <w:rPr>
                <w:sz w:val="17"/>
              </w:rPr>
              <w:t>Standardization of identifiers, status values, software names, organizational attributes, severity, and control terminology.</w:t>
            </w:r>
          </w:p>
        </w:tc>
      </w:tr>
      <w:tr>
        <w:tc>
          <w:tcPr>
            <w:tcW w:type="dxa" w:w="3024"/>
            <w:vAlign w:val="top"/>
            <w:tcMar>
              <w:top w:w="80" w:type="dxa"/>
              <w:start w:w="80" w:type="dxa"/>
              <w:bottom w:w="80" w:type="dxa"/>
              <w:end w:w="80" w:type="dxa"/>
            </w:tcMar>
          </w:tcPr>
          <w:p>
            <w:r>
              <w:rPr>
                <w:sz w:val="17"/>
              </w:rPr>
              <w:t>Curated reporting layer</w:t>
            </w:r>
          </w:p>
        </w:tc>
        <w:tc>
          <w:tcPr>
            <w:tcW w:type="dxa" w:w="8352"/>
            <w:vAlign w:val="top"/>
            <w:tcMar>
              <w:top w:w="80" w:type="dxa"/>
              <w:start w:w="80" w:type="dxa"/>
              <w:bottom w:w="80" w:type="dxa"/>
              <w:end w:w="80" w:type="dxa"/>
            </w:tcMar>
          </w:tcPr>
          <w:p>
            <w:r>
              <w:rPr>
                <w:sz w:val="17"/>
              </w:rPr>
              <w:t>Star-schema dimensions and fact tables optimized for historical reporting, compliance evaluation, and audit exports.</w:t>
            </w:r>
          </w:p>
        </w:tc>
      </w:tr>
      <w:tr>
        <w:tc>
          <w:tcPr>
            <w:tcW w:type="dxa" w:w="3024"/>
            <w:vAlign w:val="top"/>
            <w:tcMar>
              <w:top w:w="80" w:type="dxa"/>
              <w:start w:w="80" w:type="dxa"/>
              <w:bottom w:w="80" w:type="dxa"/>
              <w:end w:w="80" w:type="dxa"/>
            </w:tcMar>
          </w:tcPr>
          <w:p>
            <w:r>
              <w:rPr>
                <w:sz w:val="17"/>
              </w:rPr>
              <w:t>Power BI semantic layer</w:t>
            </w:r>
          </w:p>
        </w:tc>
        <w:tc>
          <w:tcPr>
            <w:tcW w:type="dxa" w:w="8352"/>
            <w:vAlign w:val="top"/>
            <w:tcMar>
              <w:top w:w="80" w:type="dxa"/>
              <w:start w:w="80" w:type="dxa"/>
              <w:bottom w:w="80" w:type="dxa"/>
              <w:end w:w="80" w:type="dxa"/>
            </w:tcMar>
          </w:tcPr>
          <w:p>
            <w:r>
              <w:rPr>
                <w:sz w:val="17"/>
              </w:rPr>
              <w:t>Certified dataset containing relationships, calculations, KPI definitions, row-level security, and reusable business measures.</w:t>
            </w:r>
          </w:p>
        </w:tc>
      </w:tr>
      <w:tr>
        <w:tc>
          <w:tcPr>
            <w:tcW w:type="dxa" w:w="3024"/>
            <w:vAlign w:val="top"/>
            <w:tcMar>
              <w:top w:w="80" w:type="dxa"/>
              <w:start w:w="80" w:type="dxa"/>
              <w:bottom w:w="80" w:type="dxa"/>
              <w:end w:w="80" w:type="dxa"/>
            </w:tcMar>
          </w:tcPr>
          <w:p>
            <w:r>
              <w:rPr>
                <w:sz w:val="17"/>
              </w:rPr>
              <w:t>Consumption and evidence</w:t>
            </w:r>
          </w:p>
        </w:tc>
        <w:tc>
          <w:tcPr>
            <w:tcW w:type="dxa" w:w="8352"/>
            <w:vAlign w:val="top"/>
            <w:tcMar>
              <w:top w:w="80" w:type="dxa"/>
              <w:start w:w="80" w:type="dxa"/>
              <w:bottom w:w="80" w:type="dxa"/>
              <w:end w:w="80" w:type="dxa"/>
            </w:tcMar>
          </w:tcPr>
          <w:p>
            <w:r>
              <w:rPr>
                <w:sz w:val="17"/>
              </w:rPr>
              <w:t>Dashboards, paginated reports, CSV exports, scheduled evidence packages, alerts, and SharePoint records.</w:t>
            </w:r>
          </w:p>
        </w:tc>
      </w:tr>
    </w:tbl>
    <w:p>
      <w:pPr>
        <w:keepLines w:val="0"/>
      </w:pPr>
    </w:p>
    <w:p>
      <w:pPr>
        <w:pStyle w:val="Heading2"/>
        <w:keepLines w:val="0"/>
      </w:pPr>
      <w:r>
        <w:t>3.2 Data Processing Zones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016"/>
            <w:shd w:fill="1F4E78"/>
            <w:vAlign w:val="center"/>
            <w:tcMar>
              <w:top w:w="80" w:type="dxa"/>
              <w:start w:w="80" w:type="dxa"/>
              <w:bottom w:w="80" w:type="dxa"/>
              <w:end w:w="80" w:type="dxa"/>
            </w:tcMar>
          </w:tcPr>
          <w:p>
            <w:pPr>
              <w:jc w:val="center"/>
            </w:pPr>
            <w:r>
              <w:rPr>
                <w:b/>
                <w:color w:val="FFFFFF"/>
                <w:sz w:val="18"/>
              </w:rPr>
              <w:t>Zone</w:t>
            </w:r>
          </w:p>
        </w:tc>
        <w:tc>
          <w:tcPr>
            <w:tcW w:type="dxa" w:w="4608"/>
            <w:shd w:fill="1F4E78"/>
            <w:vAlign w:val="center"/>
            <w:tcMar>
              <w:top w:w="80" w:type="dxa"/>
              <w:start w:w="80" w:type="dxa"/>
              <w:bottom w:w="80" w:type="dxa"/>
              <w:end w:w="80" w:type="dxa"/>
            </w:tcMar>
          </w:tcPr>
          <w:p>
            <w:pPr>
              <w:jc w:val="center"/>
            </w:pPr>
            <w:r>
              <w:rPr>
                <w:b/>
                <w:color w:val="FFFFFF"/>
                <w:sz w:val="18"/>
              </w:rPr>
              <w:t>Purpose</w:t>
            </w:r>
          </w:p>
        </w:tc>
        <w:tc>
          <w:tcPr>
            <w:tcW w:type="dxa" w:w="4752"/>
            <w:shd w:fill="1F4E78"/>
            <w:vAlign w:val="center"/>
            <w:tcMar>
              <w:top w:w="80" w:type="dxa"/>
              <w:start w:w="80" w:type="dxa"/>
              <w:bottom w:w="80" w:type="dxa"/>
              <w:end w:w="80" w:type="dxa"/>
            </w:tcMar>
          </w:tcPr>
          <w:p>
            <w:pPr>
              <w:jc w:val="center"/>
            </w:pPr>
            <w:r>
              <w:rPr>
                <w:b/>
                <w:color w:val="FFFFFF"/>
                <w:sz w:val="18"/>
              </w:rPr>
              <w:t>Examples</w:t>
            </w:r>
          </w:p>
        </w:tc>
      </w:tr>
      <w:tr>
        <w:tc>
          <w:tcPr>
            <w:tcW w:type="dxa" w:w="2016"/>
            <w:vAlign w:val="top"/>
            <w:tcMar>
              <w:top w:w="80" w:type="dxa"/>
              <w:start w:w="80" w:type="dxa"/>
              <w:bottom w:w="80" w:type="dxa"/>
              <w:end w:w="80" w:type="dxa"/>
            </w:tcMar>
          </w:tcPr>
          <w:p>
            <w:r>
              <w:rPr>
                <w:sz w:val="17"/>
              </w:rPr>
              <w:t>Bronze / Raw</w:t>
            </w:r>
          </w:p>
        </w:tc>
        <w:tc>
          <w:tcPr>
            <w:tcW w:type="dxa" w:w="4608"/>
            <w:vAlign w:val="top"/>
            <w:tcMar>
              <w:top w:w="80" w:type="dxa"/>
              <w:start w:w="80" w:type="dxa"/>
              <w:bottom w:w="80" w:type="dxa"/>
              <w:end w:w="80" w:type="dxa"/>
            </w:tcMar>
          </w:tcPr>
          <w:p>
            <w:r>
              <w:rPr>
                <w:sz w:val="17"/>
              </w:rPr>
              <w:t>Preserve source extracts and provide ingestion traceability.</w:t>
            </w:r>
          </w:p>
        </w:tc>
        <w:tc>
          <w:tcPr>
            <w:tcW w:type="dxa" w:w="4752"/>
            <w:vAlign w:val="top"/>
            <w:tcMar>
              <w:top w:w="80" w:type="dxa"/>
              <w:start w:w="80" w:type="dxa"/>
              <w:bottom w:w="80" w:type="dxa"/>
              <w:end w:w="80" w:type="dxa"/>
            </w:tcMar>
          </w:tcPr>
          <w:p>
            <w:r>
              <w:rPr>
                <w:sz w:val="17"/>
              </w:rPr>
              <w:t>Raw Intune devices, JAMF inventory, Tenable findings, Tanium patch records, ServiceNow assets.</w:t>
            </w:r>
          </w:p>
        </w:tc>
      </w:tr>
      <w:tr>
        <w:tc>
          <w:tcPr>
            <w:tcW w:type="dxa" w:w="2016"/>
            <w:vAlign w:val="top"/>
            <w:tcMar>
              <w:top w:w="80" w:type="dxa"/>
              <w:start w:w="80" w:type="dxa"/>
              <w:bottom w:w="80" w:type="dxa"/>
              <w:end w:w="80" w:type="dxa"/>
            </w:tcMar>
          </w:tcPr>
          <w:p>
            <w:r>
              <w:rPr>
                <w:sz w:val="17"/>
              </w:rPr>
              <w:t>Silver / Standardized</w:t>
            </w:r>
          </w:p>
        </w:tc>
        <w:tc>
          <w:tcPr>
            <w:tcW w:type="dxa" w:w="4608"/>
            <w:vAlign w:val="top"/>
            <w:tcMar>
              <w:top w:w="80" w:type="dxa"/>
              <w:start w:w="80" w:type="dxa"/>
              <w:bottom w:w="80" w:type="dxa"/>
              <w:end w:w="80" w:type="dxa"/>
            </w:tcMar>
          </w:tcPr>
          <w:p>
            <w:r>
              <w:rPr>
                <w:sz w:val="17"/>
              </w:rPr>
              <w:t>Clean and normalize source data while retaining source keys.</w:t>
            </w:r>
          </w:p>
        </w:tc>
        <w:tc>
          <w:tcPr>
            <w:tcW w:type="dxa" w:w="4752"/>
            <w:vAlign w:val="top"/>
            <w:tcMar>
              <w:top w:w="80" w:type="dxa"/>
              <w:start w:w="80" w:type="dxa"/>
              <w:bottom w:w="80" w:type="dxa"/>
              <w:end w:w="80" w:type="dxa"/>
            </w:tcMar>
          </w:tcPr>
          <w:p>
            <w:r>
              <w:rPr>
                <w:sz w:val="17"/>
              </w:rPr>
              <w:t>Normalized hostname, serial number, OS, user, severity, status, software title.</w:t>
            </w:r>
          </w:p>
        </w:tc>
      </w:tr>
      <w:tr>
        <w:tc>
          <w:tcPr>
            <w:tcW w:type="dxa" w:w="2016"/>
            <w:vAlign w:val="top"/>
            <w:tcMar>
              <w:top w:w="80" w:type="dxa"/>
              <w:start w:w="80" w:type="dxa"/>
              <w:bottom w:w="80" w:type="dxa"/>
              <w:end w:w="80" w:type="dxa"/>
            </w:tcMar>
          </w:tcPr>
          <w:p>
            <w:r>
              <w:rPr>
                <w:sz w:val="17"/>
              </w:rPr>
              <w:t>Gold / Curated</w:t>
            </w:r>
          </w:p>
        </w:tc>
        <w:tc>
          <w:tcPr>
            <w:tcW w:type="dxa" w:w="4608"/>
            <w:vAlign w:val="top"/>
            <w:tcMar>
              <w:top w:w="80" w:type="dxa"/>
              <w:start w:w="80" w:type="dxa"/>
              <w:bottom w:w="80" w:type="dxa"/>
              <w:end w:w="80" w:type="dxa"/>
            </w:tcMar>
          </w:tcPr>
          <w:p>
            <w:r>
              <w:rPr>
                <w:sz w:val="17"/>
              </w:rPr>
              <w:t>Provide reporting-ready dimensions, facts, snapshots, and compliance outcomes.</w:t>
            </w:r>
          </w:p>
        </w:tc>
        <w:tc>
          <w:tcPr>
            <w:tcW w:type="dxa" w:w="4752"/>
            <w:vAlign w:val="top"/>
            <w:tcMar>
              <w:top w:w="80" w:type="dxa"/>
              <w:start w:w="80" w:type="dxa"/>
              <w:bottom w:w="80" w:type="dxa"/>
              <w:end w:w="80" w:type="dxa"/>
            </w:tcMar>
          </w:tcPr>
          <w:p>
            <w:r>
              <w:rPr>
                <w:sz w:val="17"/>
              </w:rPr>
              <w:t>Dim_Device, Dim_Control, Fact_Configuration, Fact_Encryption, Fact_Vulnerability.</w:t>
            </w:r>
          </w:p>
        </w:tc>
      </w:tr>
      <w:tr>
        <w:tc>
          <w:tcPr>
            <w:tcW w:type="dxa" w:w="2016"/>
            <w:vAlign w:val="top"/>
            <w:tcMar>
              <w:top w:w="80" w:type="dxa"/>
              <w:start w:w="80" w:type="dxa"/>
              <w:bottom w:w="80" w:type="dxa"/>
              <w:end w:w="80" w:type="dxa"/>
            </w:tcMar>
          </w:tcPr>
          <w:p>
            <w:r>
              <w:rPr>
                <w:sz w:val="17"/>
              </w:rPr>
              <w:t>Semantic / Certified</w:t>
            </w:r>
          </w:p>
        </w:tc>
        <w:tc>
          <w:tcPr>
            <w:tcW w:type="dxa" w:w="4608"/>
            <w:vAlign w:val="top"/>
            <w:tcMar>
              <w:top w:w="80" w:type="dxa"/>
              <w:start w:w="80" w:type="dxa"/>
              <w:bottom w:w="80" w:type="dxa"/>
              <w:end w:w="80" w:type="dxa"/>
            </w:tcMar>
          </w:tcPr>
          <w:p>
            <w:r>
              <w:rPr>
                <w:sz w:val="17"/>
              </w:rPr>
              <w:t>Provide business measures and governed reporting behavior.</w:t>
            </w:r>
          </w:p>
        </w:tc>
        <w:tc>
          <w:tcPr>
            <w:tcW w:type="dxa" w:w="4752"/>
            <w:vAlign w:val="top"/>
            <w:tcMar>
              <w:top w:w="80" w:type="dxa"/>
              <w:start w:w="80" w:type="dxa"/>
              <w:bottom w:w="80" w:type="dxa"/>
              <w:end w:w="80" w:type="dxa"/>
            </w:tcMar>
          </w:tcPr>
          <w:p>
            <w:r>
              <w:rPr>
                <w:sz w:val="17"/>
              </w:rPr>
              <w:t>Compliance percentages, latest snapshot, SLA breaches, trend measures, RLS.</w:t>
            </w:r>
          </w:p>
        </w:tc>
      </w:tr>
      <w:tr>
        <w:tc>
          <w:tcPr>
            <w:tcW w:type="dxa" w:w="2016"/>
            <w:vAlign w:val="top"/>
            <w:tcMar>
              <w:top w:w="80" w:type="dxa"/>
              <w:start w:w="80" w:type="dxa"/>
              <w:bottom w:w="80" w:type="dxa"/>
              <w:end w:w="80" w:type="dxa"/>
            </w:tcMar>
          </w:tcPr>
          <w:p>
            <w:r>
              <w:rPr>
                <w:sz w:val="17"/>
              </w:rPr>
              <w:t>Evidence / Retained</w:t>
            </w:r>
          </w:p>
        </w:tc>
        <w:tc>
          <w:tcPr>
            <w:tcW w:type="dxa" w:w="4608"/>
            <w:vAlign w:val="top"/>
            <w:tcMar>
              <w:top w:w="80" w:type="dxa"/>
              <w:start w:w="80" w:type="dxa"/>
              <w:bottom w:w="80" w:type="dxa"/>
              <w:end w:w="80" w:type="dxa"/>
            </w:tcMar>
          </w:tcPr>
          <w:p>
            <w:r>
              <w:rPr>
                <w:sz w:val="17"/>
              </w:rPr>
              <w:t>Store approved reports and supporting artifacts for audit periods.</w:t>
            </w:r>
          </w:p>
        </w:tc>
        <w:tc>
          <w:tcPr>
            <w:tcW w:type="dxa" w:w="4752"/>
            <w:vAlign w:val="top"/>
            <w:tcMar>
              <w:top w:w="80" w:type="dxa"/>
              <w:start w:w="80" w:type="dxa"/>
              <w:bottom w:w="80" w:type="dxa"/>
              <w:end w:w="80" w:type="dxa"/>
            </w:tcMar>
          </w:tcPr>
          <w:p>
            <w:r>
              <w:rPr>
                <w:sz w:val="17"/>
              </w:rPr>
              <w:t>Monthly PDF, CSV evidence export, meeting deck, attestation, exception approval.</w:t>
            </w:r>
          </w:p>
        </w:tc>
      </w:tr>
    </w:tbl>
    <w:p>
      <w:pPr>
        <w:keepLines w:val="0"/>
      </w:pPr>
    </w:p>
    <w:p>
      <w:pPr>
        <w:pStyle w:val="Heading1"/>
        <w:keepLines w:val="0"/>
      </w:pPr>
      <w:r>
        <w:t>4. Data Source and Integration Architecture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304"/>
            <w:shd w:fill="1F4E78"/>
            <w:vAlign w:val="center"/>
            <w:tcMar>
              <w:top w:w="80" w:type="dxa"/>
              <w:start w:w="80" w:type="dxa"/>
              <w:bottom w:w="80" w:type="dxa"/>
              <w:end w:w="80" w:type="dxa"/>
            </w:tcMar>
          </w:tcPr>
          <w:p>
            <w:pPr>
              <w:jc w:val="center"/>
            </w:pPr>
            <w:r>
              <w:rPr>
                <w:b/>
                <w:color w:val="FFFFFF"/>
                <w:sz w:val="18"/>
              </w:rPr>
              <w:t>Domain</w:t>
            </w:r>
          </w:p>
        </w:tc>
        <w:tc>
          <w:tcPr>
            <w:tcW w:type="dxa" w:w="2880"/>
            <w:shd w:fill="1F4E78"/>
            <w:vAlign w:val="center"/>
            <w:tcMar>
              <w:top w:w="80" w:type="dxa"/>
              <w:start w:w="80" w:type="dxa"/>
              <w:bottom w:w="80" w:type="dxa"/>
              <w:end w:w="80" w:type="dxa"/>
            </w:tcMar>
          </w:tcPr>
          <w:p>
            <w:pPr>
              <w:jc w:val="center"/>
            </w:pPr>
            <w:r>
              <w:rPr>
                <w:b/>
                <w:color w:val="FFFFFF"/>
                <w:sz w:val="18"/>
              </w:rPr>
              <w:t>Primary Sources</w:t>
            </w:r>
          </w:p>
        </w:tc>
        <w:tc>
          <w:tcPr>
            <w:tcW w:type="dxa" w:w="6192"/>
            <w:shd w:fill="1F4E78"/>
            <w:vAlign w:val="center"/>
            <w:tcMar>
              <w:top w:w="80" w:type="dxa"/>
              <w:start w:w="80" w:type="dxa"/>
              <w:bottom w:w="80" w:type="dxa"/>
              <w:end w:w="80" w:type="dxa"/>
            </w:tcMar>
          </w:tcPr>
          <w:p>
            <w:pPr>
              <w:jc w:val="center"/>
            </w:pPr>
            <w:r>
              <w:rPr>
                <w:b/>
                <w:color w:val="FFFFFF"/>
                <w:sz w:val="18"/>
              </w:rPr>
              <w:t>Data Supplied</w:t>
            </w:r>
          </w:p>
        </w:tc>
      </w:tr>
      <w:tr>
        <w:tc>
          <w:tcPr>
            <w:tcW w:type="dxa" w:w="2304"/>
            <w:vAlign w:val="top"/>
            <w:tcMar>
              <w:top w:w="80" w:type="dxa"/>
              <w:start w:w="80" w:type="dxa"/>
              <w:bottom w:w="80" w:type="dxa"/>
              <w:end w:w="80" w:type="dxa"/>
            </w:tcMar>
          </w:tcPr>
          <w:p>
            <w:r>
              <w:rPr>
                <w:sz w:val="17"/>
              </w:rPr>
              <w:t>Device management</w:t>
            </w:r>
          </w:p>
        </w:tc>
        <w:tc>
          <w:tcPr>
            <w:tcW w:type="dxa" w:w="2880"/>
            <w:vAlign w:val="top"/>
            <w:tcMar>
              <w:top w:w="80" w:type="dxa"/>
              <w:start w:w="80" w:type="dxa"/>
              <w:bottom w:w="80" w:type="dxa"/>
              <w:end w:w="80" w:type="dxa"/>
            </w:tcMar>
          </w:tcPr>
          <w:p>
            <w:r>
              <w:rPr>
                <w:sz w:val="17"/>
              </w:rPr>
              <w:t>Intune, JAMF, MDM</w:t>
            </w:r>
          </w:p>
        </w:tc>
        <w:tc>
          <w:tcPr>
            <w:tcW w:type="dxa" w:w="6192"/>
            <w:vAlign w:val="top"/>
            <w:tcMar>
              <w:top w:w="80" w:type="dxa"/>
              <w:start w:w="80" w:type="dxa"/>
              <w:bottom w:w="80" w:type="dxa"/>
              <w:end w:w="80" w:type="dxa"/>
            </w:tcMar>
          </w:tcPr>
          <w:p>
            <w:r>
              <w:rPr>
                <w:sz w:val="17"/>
              </w:rPr>
              <w:t>Device inventory, management status, OS, configuration, last check-in, compliance state.</w:t>
            </w:r>
          </w:p>
        </w:tc>
      </w:tr>
      <w:tr>
        <w:tc>
          <w:tcPr>
            <w:tcW w:type="dxa" w:w="2304"/>
            <w:vAlign w:val="top"/>
            <w:tcMar>
              <w:top w:w="80" w:type="dxa"/>
              <w:start w:w="80" w:type="dxa"/>
              <w:bottom w:w="80" w:type="dxa"/>
              <w:end w:w="80" w:type="dxa"/>
            </w:tcMar>
          </w:tcPr>
          <w:p>
            <w:r>
              <w:rPr>
                <w:sz w:val="17"/>
              </w:rPr>
              <w:t>Windows policy</w:t>
            </w:r>
          </w:p>
        </w:tc>
        <w:tc>
          <w:tcPr>
            <w:tcW w:type="dxa" w:w="2880"/>
            <w:vAlign w:val="top"/>
            <w:tcMar>
              <w:top w:w="80" w:type="dxa"/>
              <w:start w:w="80" w:type="dxa"/>
              <w:bottom w:w="80" w:type="dxa"/>
              <w:end w:w="80" w:type="dxa"/>
            </w:tcMar>
          </w:tcPr>
          <w:p>
            <w:r>
              <w:rPr>
                <w:sz w:val="17"/>
              </w:rPr>
              <w:t>GPO, Intune</w:t>
            </w:r>
          </w:p>
        </w:tc>
        <w:tc>
          <w:tcPr>
            <w:tcW w:type="dxa" w:w="6192"/>
            <w:vAlign w:val="top"/>
            <w:tcMar>
              <w:top w:w="80" w:type="dxa"/>
              <w:start w:w="80" w:type="dxa"/>
              <w:bottom w:w="80" w:type="dxa"/>
              <w:end w:w="80" w:type="dxa"/>
            </w:tcMar>
          </w:tcPr>
          <w:p>
            <w:r>
              <w:rPr>
                <w:sz w:val="17"/>
              </w:rPr>
              <w:t>Policy definitions, assignment, expected settings, result status.</w:t>
            </w:r>
          </w:p>
        </w:tc>
      </w:tr>
      <w:tr>
        <w:tc>
          <w:tcPr>
            <w:tcW w:type="dxa" w:w="2304"/>
            <w:vAlign w:val="top"/>
            <w:tcMar>
              <w:top w:w="80" w:type="dxa"/>
              <w:start w:w="80" w:type="dxa"/>
              <w:bottom w:w="80" w:type="dxa"/>
              <w:end w:w="80" w:type="dxa"/>
            </w:tcMar>
          </w:tcPr>
          <w:p>
            <w:r>
              <w:rPr>
                <w:sz w:val="17"/>
              </w:rPr>
              <w:t>Endpoint security</w:t>
            </w:r>
          </w:p>
        </w:tc>
        <w:tc>
          <w:tcPr>
            <w:tcW w:type="dxa" w:w="2880"/>
            <w:vAlign w:val="top"/>
            <w:tcMar>
              <w:top w:w="80" w:type="dxa"/>
              <w:start w:w="80" w:type="dxa"/>
              <w:bottom w:w="80" w:type="dxa"/>
              <w:end w:w="80" w:type="dxa"/>
            </w:tcMar>
          </w:tcPr>
          <w:p>
            <w:r>
              <w:rPr>
                <w:sz w:val="17"/>
              </w:rPr>
              <w:t>CrowdStrike, Tanium</w:t>
            </w:r>
          </w:p>
        </w:tc>
        <w:tc>
          <w:tcPr>
            <w:tcW w:type="dxa" w:w="6192"/>
            <w:vAlign w:val="top"/>
            <w:tcMar>
              <w:top w:w="80" w:type="dxa"/>
              <w:start w:w="80" w:type="dxa"/>
              <w:bottom w:w="80" w:type="dxa"/>
              <w:end w:w="80" w:type="dxa"/>
            </w:tcMar>
          </w:tcPr>
          <w:p>
            <w:r>
              <w:rPr>
                <w:sz w:val="17"/>
              </w:rPr>
              <w:t>Agent coverage, protection state, encryption, patch posture, endpoint telemetry.</w:t>
            </w:r>
          </w:p>
        </w:tc>
      </w:tr>
      <w:tr>
        <w:tc>
          <w:tcPr>
            <w:tcW w:type="dxa" w:w="2304"/>
            <w:vAlign w:val="top"/>
            <w:tcMar>
              <w:top w:w="80" w:type="dxa"/>
              <w:start w:w="80" w:type="dxa"/>
              <w:bottom w:w="80" w:type="dxa"/>
              <w:end w:w="80" w:type="dxa"/>
            </w:tcMar>
          </w:tcPr>
          <w:p>
            <w:r>
              <w:rPr>
                <w:sz w:val="17"/>
              </w:rPr>
              <w:t>Vulnerability</w:t>
            </w:r>
          </w:p>
        </w:tc>
        <w:tc>
          <w:tcPr>
            <w:tcW w:type="dxa" w:w="2880"/>
            <w:vAlign w:val="top"/>
            <w:tcMar>
              <w:top w:w="80" w:type="dxa"/>
              <w:start w:w="80" w:type="dxa"/>
              <w:bottom w:w="80" w:type="dxa"/>
              <w:end w:w="80" w:type="dxa"/>
            </w:tcMar>
          </w:tcPr>
          <w:p>
            <w:r>
              <w:rPr>
                <w:sz w:val="17"/>
              </w:rPr>
              <w:t>Tenable, Tanium, Wiz</w:t>
            </w:r>
          </w:p>
        </w:tc>
        <w:tc>
          <w:tcPr>
            <w:tcW w:type="dxa" w:w="6192"/>
            <w:vAlign w:val="top"/>
            <w:tcMar>
              <w:top w:w="80" w:type="dxa"/>
              <w:start w:w="80" w:type="dxa"/>
              <w:bottom w:w="80" w:type="dxa"/>
              <w:end w:w="80" w:type="dxa"/>
            </w:tcMar>
          </w:tcPr>
          <w:p>
            <w:r>
              <w:rPr>
                <w:sz w:val="17"/>
              </w:rPr>
              <w:t>CVE findings, severity, detection age, remediation state, SLA status.</w:t>
            </w:r>
          </w:p>
        </w:tc>
      </w:tr>
      <w:tr>
        <w:tc>
          <w:tcPr>
            <w:tcW w:type="dxa" w:w="2304"/>
            <w:vAlign w:val="top"/>
            <w:tcMar>
              <w:top w:w="80" w:type="dxa"/>
              <w:start w:w="80" w:type="dxa"/>
              <w:bottom w:w="80" w:type="dxa"/>
              <w:end w:w="80" w:type="dxa"/>
            </w:tcMar>
          </w:tcPr>
          <w:p>
            <w:r>
              <w:rPr>
                <w:sz w:val="17"/>
              </w:rPr>
              <w:t>Identity and passwordless</w:t>
            </w:r>
          </w:p>
        </w:tc>
        <w:tc>
          <w:tcPr>
            <w:tcW w:type="dxa" w:w="2880"/>
            <w:vAlign w:val="top"/>
            <w:tcMar>
              <w:top w:w="80" w:type="dxa"/>
              <w:start w:w="80" w:type="dxa"/>
              <w:bottom w:w="80" w:type="dxa"/>
              <w:end w:w="80" w:type="dxa"/>
            </w:tcMar>
          </w:tcPr>
          <w:p>
            <w:r>
              <w:rPr>
                <w:sz w:val="17"/>
              </w:rPr>
              <w:t>Entra ID, Intune, JAMF</w:t>
            </w:r>
          </w:p>
        </w:tc>
        <w:tc>
          <w:tcPr>
            <w:tcW w:type="dxa" w:w="6192"/>
            <w:vAlign w:val="top"/>
            <w:tcMar>
              <w:top w:w="80" w:type="dxa"/>
              <w:start w:w="80" w:type="dxa"/>
              <w:bottom w:w="80" w:type="dxa"/>
              <w:end w:w="80" w:type="dxa"/>
            </w:tcMar>
          </w:tcPr>
          <w:p>
            <w:r>
              <w:rPr>
                <w:sz w:val="17"/>
              </w:rPr>
              <w:t>FIDO2 registration, device capability, authentication method, enforcement status.</w:t>
            </w:r>
          </w:p>
        </w:tc>
      </w:tr>
      <w:tr>
        <w:tc>
          <w:tcPr>
            <w:tcW w:type="dxa" w:w="2304"/>
            <w:vAlign w:val="top"/>
            <w:tcMar>
              <w:top w:w="80" w:type="dxa"/>
              <w:start w:w="80" w:type="dxa"/>
              <w:bottom w:w="80" w:type="dxa"/>
              <w:end w:w="80" w:type="dxa"/>
            </w:tcMar>
          </w:tcPr>
          <w:p>
            <w:r>
              <w:rPr>
                <w:sz w:val="17"/>
              </w:rPr>
              <w:t>Asset and lifecycle</w:t>
            </w:r>
          </w:p>
        </w:tc>
        <w:tc>
          <w:tcPr>
            <w:tcW w:type="dxa" w:w="2880"/>
            <w:vAlign w:val="top"/>
            <w:tcMar>
              <w:top w:w="80" w:type="dxa"/>
              <w:start w:w="80" w:type="dxa"/>
              <w:bottom w:w="80" w:type="dxa"/>
              <w:end w:w="80" w:type="dxa"/>
            </w:tcMar>
          </w:tcPr>
          <w:p>
            <w:r>
              <w:rPr>
                <w:sz w:val="17"/>
              </w:rPr>
              <w:t>ServiceNow CMDB and Asset</w:t>
            </w:r>
          </w:p>
        </w:tc>
        <w:tc>
          <w:tcPr>
            <w:tcW w:type="dxa" w:w="6192"/>
            <w:vAlign w:val="top"/>
            <w:tcMar>
              <w:top w:w="80" w:type="dxa"/>
              <w:start w:w="80" w:type="dxa"/>
              <w:bottom w:w="80" w:type="dxa"/>
              <w:end w:w="80" w:type="dxa"/>
            </w:tcMar>
          </w:tcPr>
          <w:p>
            <w:r>
              <w:rPr>
                <w:sz w:val="17"/>
              </w:rPr>
              <w:t>Asset ownership, status, purchase, assignment, lost/stolen, disposal, sanitization.</w:t>
            </w:r>
          </w:p>
        </w:tc>
      </w:tr>
      <w:tr>
        <w:tc>
          <w:tcPr>
            <w:tcW w:type="dxa" w:w="2304"/>
            <w:vAlign w:val="top"/>
            <w:tcMar>
              <w:top w:w="80" w:type="dxa"/>
              <w:start w:w="80" w:type="dxa"/>
              <w:bottom w:w="80" w:type="dxa"/>
              <w:end w:w="80" w:type="dxa"/>
            </w:tcMar>
          </w:tcPr>
          <w:p>
            <w:r>
              <w:rPr>
                <w:sz w:val="17"/>
              </w:rPr>
              <w:t>Software lifecycle</w:t>
            </w:r>
          </w:p>
        </w:tc>
        <w:tc>
          <w:tcPr>
            <w:tcW w:type="dxa" w:w="2880"/>
            <w:vAlign w:val="top"/>
            <w:tcMar>
              <w:top w:w="80" w:type="dxa"/>
              <w:start w:w="80" w:type="dxa"/>
              <w:bottom w:w="80" w:type="dxa"/>
              <w:end w:w="80" w:type="dxa"/>
            </w:tcMar>
          </w:tcPr>
          <w:p>
            <w:r>
              <w:rPr>
                <w:sz w:val="17"/>
              </w:rPr>
              <w:t>ServiceNow, packaging platform</w:t>
            </w:r>
          </w:p>
        </w:tc>
        <w:tc>
          <w:tcPr>
            <w:tcW w:type="dxa" w:w="6192"/>
            <w:vAlign w:val="top"/>
            <w:tcMar>
              <w:top w:w="80" w:type="dxa"/>
              <w:start w:w="80" w:type="dxa"/>
              <w:bottom w:w="80" w:type="dxa"/>
              <w:end w:w="80" w:type="dxa"/>
            </w:tcMar>
          </w:tcPr>
          <w:p>
            <w:r>
              <w:rPr>
                <w:sz w:val="17"/>
              </w:rPr>
              <w:t>Request, approval, packaging, deployment, EOL, OOS, retirement.</w:t>
            </w:r>
          </w:p>
        </w:tc>
      </w:tr>
      <w:tr>
        <w:tc>
          <w:tcPr>
            <w:tcW w:type="dxa" w:w="2304"/>
            <w:vAlign w:val="top"/>
            <w:tcMar>
              <w:top w:w="80" w:type="dxa"/>
              <w:start w:w="80" w:type="dxa"/>
              <w:bottom w:w="80" w:type="dxa"/>
              <w:end w:w="80" w:type="dxa"/>
            </w:tcMar>
          </w:tcPr>
          <w:p>
            <w:r>
              <w:rPr>
                <w:sz w:val="17"/>
              </w:rPr>
              <w:t>Exceptions and risk</w:t>
            </w:r>
          </w:p>
        </w:tc>
        <w:tc>
          <w:tcPr>
            <w:tcW w:type="dxa" w:w="2880"/>
            <w:vAlign w:val="top"/>
            <w:tcMar>
              <w:top w:w="80" w:type="dxa"/>
              <w:start w:w="80" w:type="dxa"/>
              <w:bottom w:w="80" w:type="dxa"/>
              <w:end w:w="80" w:type="dxa"/>
            </w:tcMar>
          </w:tcPr>
          <w:p>
            <w:r>
              <w:rPr>
                <w:sz w:val="17"/>
              </w:rPr>
              <w:t>ServiceNow GRC or risk register</w:t>
            </w:r>
          </w:p>
        </w:tc>
        <w:tc>
          <w:tcPr>
            <w:tcW w:type="dxa" w:w="6192"/>
            <w:vAlign w:val="top"/>
            <w:tcMar>
              <w:top w:w="80" w:type="dxa"/>
              <w:start w:w="80" w:type="dxa"/>
              <w:bottom w:w="80" w:type="dxa"/>
              <w:end w:w="80" w:type="dxa"/>
            </w:tcMar>
          </w:tcPr>
          <w:p>
            <w:r>
              <w:rPr>
                <w:sz w:val="17"/>
              </w:rPr>
              <w:t>Exception approval, compensating control, expiration, risk record.</w:t>
            </w:r>
          </w:p>
        </w:tc>
      </w:tr>
      <w:tr>
        <w:tc>
          <w:tcPr>
            <w:tcW w:type="dxa" w:w="2304"/>
            <w:vAlign w:val="top"/>
            <w:tcMar>
              <w:top w:w="80" w:type="dxa"/>
              <w:start w:w="80" w:type="dxa"/>
              <w:bottom w:w="80" w:type="dxa"/>
              <w:end w:w="80" w:type="dxa"/>
            </w:tcMar>
          </w:tcPr>
          <w:p>
            <w:r>
              <w:rPr>
                <w:sz w:val="17"/>
              </w:rPr>
              <w:t>Evidence repository</w:t>
            </w:r>
          </w:p>
        </w:tc>
        <w:tc>
          <w:tcPr>
            <w:tcW w:type="dxa" w:w="2880"/>
            <w:vAlign w:val="top"/>
            <w:tcMar>
              <w:top w:w="80" w:type="dxa"/>
              <w:start w:w="80" w:type="dxa"/>
              <w:bottom w:w="80" w:type="dxa"/>
              <w:end w:w="80" w:type="dxa"/>
            </w:tcMar>
          </w:tcPr>
          <w:p>
            <w:r>
              <w:rPr>
                <w:sz w:val="17"/>
              </w:rPr>
              <w:t>SharePoint</w:t>
            </w:r>
          </w:p>
        </w:tc>
        <w:tc>
          <w:tcPr>
            <w:tcW w:type="dxa" w:w="6192"/>
            <w:vAlign w:val="top"/>
            <w:tcMar>
              <w:top w:w="80" w:type="dxa"/>
              <w:start w:w="80" w:type="dxa"/>
              <w:bottom w:w="80" w:type="dxa"/>
              <w:end w:w="80" w:type="dxa"/>
            </w:tcMar>
          </w:tcPr>
          <w:p>
            <w:r>
              <w:rPr>
                <w:sz w:val="17"/>
              </w:rPr>
              <w:t>Policies, standards, procedures, meeting evidence, process diagrams, review status.</w:t>
            </w:r>
          </w:p>
        </w:tc>
      </w:tr>
    </w:tbl>
    <w:p>
      <w:pPr>
        <w:keepLines w:val="0"/>
      </w:pPr>
    </w:p>
    <w:p>
      <w:pPr>
        <w:pStyle w:val="Heading2"/>
        <w:keepLines w:val="0"/>
      </w:pPr>
      <w:r>
        <w:t>4.1 Integration Patterns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160"/>
            <w:shd w:fill="1F4E78"/>
            <w:vAlign w:val="center"/>
            <w:tcMar>
              <w:top w:w="80" w:type="dxa"/>
              <w:start w:w="80" w:type="dxa"/>
              <w:bottom w:w="80" w:type="dxa"/>
              <w:end w:w="80" w:type="dxa"/>
            </w:tcMar>
          </w:tcPr>
          <w:p>
            <w:pPr>
              <w:jc w:val="center"/>
            </w:pPr>
            <w:r>
              <w:rPr>
                <w:b/>
                <w:color w:val="FFFFFF"/>
                <w:sz w:val="18"/>
              </w:rPr>
              <w:t>Pattern</w:t>
            </w:r>
          </w:p>
        </w:tc>
        <w:tc>
          <w:tcPr>
            <w:tcW w:type="dxa" w:w="3456"/>
            <w:shd w:fill="1F4E78"/>
            <w:vAlign w:val="center"/>
            <w:tcMar>
              <w:top w:w="80" w:type="dxa"/>
              <w:start w:w="80" w:type="dxa"/>
              <w:bottom w:w="80" w:type="dxa"/>
              <w:end w:w="80" w:type="dxa"/>
            </w:tcMar>
          </w:tcPr>
          <w:p>
            <w:pPr>
              <w:jc w:val="center"/>
            </w:pPr>
            <w:r>
              <w:rPr>
                <w:b/>
                <w:color w:val="FFFFFF"/>
                <w:sz w:val="18"/>
              </w:rPr>
              <w:t>Use</w:t>
            </w:r>
          </w:p>
        </w:tc>
        <w:tc>
          <w:tcPr>
            <w:tcW w:type="dxa" w:w="5760"/>
            <w:shd w:fill="1F4E78"/>
            <w:vAlign w:val="center"/>
            <w:tcMar>
              <w:top w:w="80" w:type="dxa"/>
              <w:start w:w="80" w:type="dxa"/>
              <w:bottom w:w="80" w:type="dxa"/>
              <w:end w:w="80" w:type="dxa"/>
            </w:tcMar>
          </w:tcPr>
          <w:p>
            <w:pPr>
              <w:jc w:val="center"/>
            </w:pPr>
            <w:r>
              <w:rPr>
                <w:b/>
                <w:color w:val="FFFFFF"/>
                <w:sz w:val="18"/>
              </w:rPr>
              <w:t>Architecture Guidance</w:t>
            </w:r>
          </w:p>
        </w:tc>
      </w:tr>
      <w:tr>
        <w:tc>
          <w:tcPr>
            <w:tcW w:type="dxa" w:w="2160"/>
            <w:vAlign w:val="top"/>
            <w:tcMar>
              <w:top w:w="80" w:type="dxa"/>
              <w:start w:w="80" w:type="dxa"/>
              <w:bottom w:w="80" w:type="dxa"/>
              <w:end w:w="80" w:type="dxa"/>
            </w:tcMar>
          </w:tcPr>
          <w:p>
            <w:r>
              <w:rPr>
                <w:sz w:val="17"/>
              </w:rPr>
              <w:t>API ingestion</w:t>
            </w:r>
          </w:p>
        </w:tc>
        <w:tc>
          <w:tcPr>
            <w:tcW w:type="dxa" w:w="3456"/>
            <w:vAlign w:val="top"/>
            <w:tcMar>
              <w:top w:w="80" w:type="dxa"/>
              <w:start w:w="80" w:type="dxa"/>
              <w:bottom w:w="80" w:type="dxa"/>
              <w:end w:w="80" w:type="dxa"/>
            </w:tcMar>
          </w:tcPr>
          <w:p>
            <w:r>
              <w:rPr>
                <w:sz w:val="17"/>
              </w:rPr>
              <w:t>Preferred for Intune, ServiceNow, CrowdStrike, and supported platforms.</w:t>
            </w:r>
          </w:p>
        </w:tc>
        <w:tc>
          <w:tcPr>
            <w:tcW w:type="dxa" w:w="5760"/>
            <w:vAlign w:val="top"/>
            <w:tcMar>
              <w:top w:w="80" w:type="dxa"/>
              <w:start w:w="80" w:type="dxa"/>
              <w:bottom w:w="80" w:type="dxa"/>
              <w:end w:w="80" w:type="dxa"/>
            </w:tcMar>
          </w:tcPr>
          <w:p>
            <w:r>
              <w:rPr>
                <w:sz w:val="17"/>
              </w:rPr>
              <w:t>Use service principals, managed identities, pagination, incremental extraction, and retry controls.</w:t>
            </w:r>
          </w:p>
        </w:tc>
      </w:tr>
      <w:tr>
        <w:tc>
          <w:tcPr>
            <w:tcW w:type="dxa" w:w="2160"/>
            <w:vAlign w:val="top"/>
            <w:tcMar>
              <w:top w:w="80" w:type="dxa"/>
              <w:start w:w="80" w:type="dxa"/>
              <w:bottom w:w="80" w:type="dxa"/>
              <w:end w:w="80" w:type="dxa"/>
            </w:tcMar>
          </w:tcPr>
          <w:p>
            <w:r>
              <w:rPr>
                <w:sz w:val="17"/>
              </w:rPr>
              <w:t>Data-lake file delivery</w:t>
            </w:r>
          </w:p>
        </w:tc>
        <w:tc>
          <w:tcPr>
            <w:tcW w:type="dxa" w:w="3456"/>
            <w:vAlign w:val="top"/>
            <w:tcMar>
              <w:top w:w="80" w:type="dxa"/>
              <w:start w:w="80" w:type="dxa"/>
              <w:bottom w:w="80" w:type="dxa"/>
              <w:end w:w="80" w:type="dxa"/>
            </w:tcMar>
          </w:tcPr>
          <w:p>
            <w:r>
              <w:rPr>
                <w:sz w:val="17"/>
              </w:rPr>
              <w:t>Use where Cyber already receives source-system data.</w:t>
            </w:r>
          </w:p>
        </w:tc>
        <w:tc>
          <w:tcPr>
            <w:tcW w:type="dxa" w:w="5760"/>
            <w:vAlign w:val="top"/>
            <w:tcMar>
              <w:top w:w="80" w:type="dxa"/>
              <w:start w:w="80" w:type="dxa"/>
              <w:bottom w:w="80" w:type="dxa"/>
              <w:end w:w="80" w:type="dxa"/>
            </w:tcMar>
          </w:tcPr>
          <w:p>
            <w:r>
              <w:rPr>
                <w:sz w:val="17"/>
              </w:rPr>
              <w:t>Adopt existing curated feeds where they meet freshness, completeness, and traceability requirements.</w:t>
            </w:r>
          </w:p>
        </w:tc>
      </w:tr>
      <w:tr>
        <w:tc>
          <w:tcPr>
            <w:tcW w:type="dxa" w:w="2160"/>
            <w:vAlign w:val="top"/>
            <w:tcMar>
              <w:top w:w="80" w:type="dxa"/>
              <w:start w:w="80" w:type="dxa"/>
              <w:bottom w:w="80" w:type="dxa"/>
              <w:end w:w="80" w:type="dxa"/>
            </w:tcMar>
          </w:tcPr>
          <w:p>
            <w:r>
              <w:rPr>
                <w:sz w:val="17"/>
              </w:rPr>
              <w:t>Database or warehouse access</w:t>
            </w:r>
          </w:p>
        </w:tc>
        <w:tc>
          <w:tcPr>
            <w:tcW w:type="dxa" w:w="3456"/>
            <w:vAlign w:val="top"/>
            <w:tcMar>
              <w:top w:w="80" w:type="dxa"/>
              <w:start w:w="80" w:type="dxa"/>
              <w:bottom w:w="80" w:type="dxa"/>
              <w:end w:w="80" w:type="dxa"/>
            </w:tcMar>
          </w:tcPr>
          <w:p>
            <w:r>
              <w:rPr>
                <w:sz w:val="17"/>
              </w:rPr>
              <w:t>Use for approved enterprise data products.</w:t>
            </w:r>
          </w:p>
        </w:tc>
        <w:tc>
          <w:tcPr>
            <w:tcW w:type="dxa" w:w="5760"/>
            <w:vAlign w:val="top"/>
            <w:tcMar>
              <w:top w:w="80" w:type="dxa"/>
              <w:start w:w="80" w:type="dxa"/>
              <w:bottom w:w="80" w:type="dxa"/>
              <w:end w:w="80" w:type="dxa"/>
            </w:tcMar>
          </w:tcPr>
          <w:p>
            <w:r>
              <w:rPr>
                <w:sz w:val="17"/>
              </w:rPr>
              <w:t>Prefer read-only views or published data products over direct operational database access.</w:t>
            </w:r>
          </w:p>
        </w:tc>
      </w:tr>
      <w:tr>
        <w:tc>
          <w:tcPr>
            <w:tcW w:type="dxa" w:w="2160"/>
            <w:vAlign w:val="top"/>
            <w:tcMar>
              <w:top w:w="80" w:type="dxa"/>
              <w:start w:w="80" w:type="dxa"/>
              <w:bottom w:w="80" w:type="dxa"/>
              <w:end w:w="80" w:type="dxa"/>
            </w:tcMar>
          </w:tcPr>
          <w:p>
            <w:r>
              <w:rPr>
                <w:sz w:val="17"/>
              </w:rPr>
              <w:t>Scheduled export</w:t>
            </w:r>
          </w:p>
        </w:tc>
        <w:tc>
          <w:tcPr>
            <w:tcW w:type="dxa" w:w="3456"/>
            <w:vAlign w:val="top"/>
            <w:tcMar>
              <w:top w:w="80" w:type="dxa"/>
              <w:start w:w="80" w:type="dxa"/>
              <w:bottom w:w="80" w:type="dxa"/>
              <w:end w:w="80" w:type="dxa"/>
            </w:tcMar>
          </w:tcPr>
          <w:p>
            <w:r>
              <w:rPr>
                <w:sz w:val="17"/>
              </w:rPr>
              <w:t>Use when no reliable API or approved connector is available.</w:t>
            </w:r>
          </w:p>
        </w:tc>
        <w:tc>
          <w:tcPr>
            <w:tcW w:type="dxa" w:w="5760"/>
            <w:vAlign w:val="top"/>
            <w:tcMar>
              <w:top w:w="80" w:type="dxa"/>
              <w:start w:w="80" w:type="dxa"/>
              <w:bottom w:w="80" w:type="dxa"/>
              <w:end w:w="80" w:type="dxa"/>
            </w:tcMar>
          </w:tcPr>
          <w:p>
            <w:r>
              <w:rPr>
                <w:sz w:val="17"/>
              </w:rPr>
              <w:t>Automate generation, delivery, validation, naming, and retention; avoid manual downloads.</w:t>
            </w:r>
          </w:p>
        </w:tc>
      </w:tr>
      <w:tr>
        <w:tc>
          <w:tcPr>
            <w:tcW w:type="dxa" w:w="2160"/>
            <w:vAlign w:val="top"/>
            <w:tcMar>
              <w:top w:w="80" w:type="dxa"/>
              <w:start w:w="80" w:type="dxa"/>
              <w:bottom w:w="80" w:type="dxa"/>
              <w:end w:w="80" w:type="dxa"/>
            </w:tcMar>
          </w:tcPr>
          <w:p>
            <w:r>
              <w:rPr>
                <w:sz w:val="17"/>
              </w:rPr>
              <w:t>SharePoint list/library metadata</w:t>
            </w:r>
          </w:p>
        </w:tc>
        <w:tc>
          <w:tcPr>
            <w:tcW w:type="dxa" w:w="3456"/>
            <w:vAlign w:val="top"/>
            <w:tcMar>
              <w:top w:w="80" w:type="dxa"/>
              <w:start w:w="80" w:type="dxa"/>
              <w:bottom w:w="80" w:type="dxa"/>
              <w:end w:w="80" w:type="dxa"/>
            </w:tcMar>
          </w:tcPr>
          <w:p>
            <w:r>
              <w:rPr>
                <w:sz w:val="17"/>
              </w:rPr>
              <w:t>Use for controlled document and RFI records.</w:t>
            </w:r>
          </w:p>
        </w:tc>
        <w:tc>
          <w:tcPr>
            <w:tcW w:type="dxa" w:w="5760"/>
            <w:vAlign w:val="top"/>
            <w:tcMar>
              <w:top w:w="80" w:type="dxa"/>
              <w:start w:w="80" w:type="dxa"/>
              <w:bottom w:w="80" w:type="dxa"/>
              <w:end w:w="80" w:type="dxa"/>
            </w:tcMar>
          </w:tcPr>
          <w:p>
            <w:r>
              <w:rPr>
                <w:sz w:val="17"/>
              </w:rPr>
              <w:t>Report on metadata rather than attempting to parse document contents in Power BI.</w:t>
            </w:r>
          </w:p>
        </w:tc>
      </w:tr>
    </w:tbl>
    <w:p>
      <w:pPr>
        <w:keepLines w:val="0"/>
      </w:pPr>
    </w:p>
    <w:p>
      <w:pPr>
        <w:pStyle w:val="Heading2"/>
        <w:keepLines w:val="0"/>
      </w:pPr>
      <w:r>
        <w:t>4.2 Ingestion Metadata</w:t>
      </w:r>
    </w:p>
    <w:p>
      <w:pPr>
        <w:pStyle w:val="ListBullet"/>
        <w:keepLines w:val="0"/>
        <w:spacing w:after="40"/>
      </w:pPr>
      <w:r>
        <w:t>Source system and source object name.</w:t>
      </w:r>
    </w:p>
    <w:p>
      <w:pPr>
        <w:pStyle w:val="ListBullet"/>
        <w:keepLines w:val="0"/>
        <w:spacing w:after="40"/>
      </w:pPr>
      <w:r>
        <w:t>Source record identifier and source update timestamp.</w:t>
      </w:r>
    </w:p>
    <w:p>
      <w:pPr>
        <w:pStyle w:val="ListBullet"/>
        <w:keepLines w:val="0"/>
        <w:spacing w:after="40"/>
      </w:pPr>
      <w:r>
        <w:t>Extraction timestamp and pipeline batch identifier.</w:t>
      </w:r>
    </w:p>
    <w:p>
      <w:pPr>
        <w:pStyle w:val="ListBullet"/>
        <w:keepLines w:val="0"/>
        <w:spacing w:after="40"/>
      </w:pPr>
      <w:r>
        <w:t>Record count, rejected count, and duplicate count.</w:t>
      </w:r>
    </w:p>
    <w:p>
      <w:pPr>
        <w:pStyle w:val="ListBullet"/>
        <w:keepLines w:val="0"/>
        <w:spacing w:after="40"/>
      </w:pPr>
      <w:r>
        <w:t>Schema version and transformation version.</w:t>
      </w:r>
    </w:p>
    <w:p>
      <w:pPr>
        <w:pStyle w:val="ListBullet"/>
        <w:keepLines w:val="0"/>
        <w:spacing w:after="40"/>
      </w:pPr>
      <w:r>
        <w:t>Data classification and retention category.</w:t>
      </w:r>
    </w:p>
    <w:p>
      <w:pPr>
        <w:pStyle w:val="ListBullet"/>
        <w:keepLines w:val="0"/>
        <w:spacing w:after="40"/>
      </w:pPr>
      <w:r>
        <w:t>Expected refresh frequency and source freshness threshold.</w:t>
      </w:r>
    </w:p>
    <w:p>
      <w:pPr>
        <w:pStyle w:val="Heading1"/>
        <w:keepLines w:val="0"/>
      </w:pPr>
      <w:r>
        <w:t>5. Canonical Reporting Data Model</w:t>
      </w:r>
    </w:p>
    <w:p>
      <w:pPr>
        <w:keepLines w:val="0"/>
      </w:pPr>
      <w:r>
        <w:t>The reporting model should use a star schema with shared dimensions and domain-specific fact tables. Shared dimensions ensure that platform, business unit, region, control, software, and date filters behave consistently across all dashboards.</w:t>
      </w:r>
    </w:p>
    <w:p>
      <w:pPr>
        <w:pStyle w:val="Heading2"/>
        <w:keepLines w:val="0"/>
      </w:pPr>
      <w:r>
        <w:t>5.1 Core Dimensions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448"/>
            <w:shd w:fill="1F4E78"/>
            <w:vAlign w:val="center"/>
            <w:tcMar>
              <w:top w:w="80" w:type="dxa"/>
              <w:start w:w="80" w:type="dxa"/>
              <w:bottom w:w="80" w:type="dxa"/>
              <w:end w:w="80" w:type="dxa"/>
            </w:tcMar>
          </w:tcPr>
          <w:p>
            <w:pPr>
              <w:jc w:val="center"/>
            </w:pPr>
            <w:r>
              <w:rPr>
                <w:b/>
                <w:color w:val="FFFFFF"/>
                <w:sz w:val="18"/>
              </w:rPr>
              <w:t>Dimension</w:t>
            </w:r>
          </w:p>
        </w:tc>
        <w:tc>
          <w:tcPr>
            <w:tcW w:type="dxa" w:w="3024"/>
            <w:shd w:fill="1F4E78"/>
            <w:vAlign w:val="center"/>
            <w:tcMar>
              <w:top w:w="80" w:type="dxa"/>
              <w:start w:w="80" w:type="dxa"/>
              <w:bottom w:w="80" w:type="dxa"/>
              <w:end w:w="80" w:type="dxa"/>
            </w:tcMar>
          </w:tcPr>
          <w:p>
            <w:pPr>
              <w:jc w:val="center"/>
            </w:pPr>
            <w:r>
              <w:rPr>
                <w:b/>
                <w:color w:val="FFFFFF"/>
                <w:sz w:val="18"/>
              </w:rPr>
              <w:t>Grain</w:t>
            </w:r>
          </w:p>
        </w:tc>
        <w:tc>
          <w:tcPr>
            <w:tcW w:type="dxa" w:w="6048"/>
            <w:shd w:fill="1F4E78"/>
            <w:vAlign w:val="center"/>
            <w:tcMar>
              <w:top w:w="80" w:type="dxa"/>
              <w:start w:w="80" w:type="dxa"/>
              <w:bottom w:w="80" w:type="dxa"/>
              <w:end w:w="80" w:type="dxa"/>
            </w:tcMar>
          </w:tcPr>
          <w:p>
            <w:pPr>
              <w:jc w:val="center"/>
            </w:pPr>
            <w:r>
              <w:rPr>
                <w:b/>
                <w:color w:val="FFFFFF"/>
                <w:sz w:val="18"/>
              </w:rPr>
              <w:t>Purpose</w:t>
            </w:r>
          </w:p>
        </w:tc>
      </w:tr>
      <w:tr>
        <w:tc>
          <w:tcPr>
            <w:tcW w:type="dxa" w:w="2448"/>
            <w:vAlign w:val="top"/>
            <w:tcMar>
              <w:top w:w="80" w:type="dxa"/>
              <w:start w:w="80" w:type="dxa"/>
              <w:bottom w:w="80" w:type="dxa"/>
              <w:end w:w="80" w:type="dxa"/>
            </w:tcMar>
          </w:tcPr>
          <w:p>
            <w:r>
              <w:rPr>
                <w:sz w:val="17"/>
              </w:rPr>
              <w:t>Dim_Date</w:t>
            </w:r>
          </w:p>
        </w:tc>
        <w:tc>
          <w:tcPr>
            <w:tcW w:type="dxa" w:w="3024"/>
            <w:vAlign w:val="top"/>
            <w:tcMar>
              <w:top w:w="80" w:type="dxa"/>
              <w:start w:w="80" w:type="dxa"/>
              <w:bottom w:w="80" w:type="dxa"/>
              <w:end w:w="80" w:type="dxa"/>
            </w:tcMar>
          </w:tcPr>
          <w:p>
            <w:r>
              <w:rPr>
                <w:sz w:val="17"/>
              </w:rPr>
              <w:t>One row per calendar date</w:t>
            </w:r>
          </w:p>
        </w:tc>
        <w:tc>
          <w:tcPr>
            <w:tcW w:type="dxa" w:w="6048"/>
            <w:vAlign w:val="top"/>
            <w:tcMar>
              <w:top w:w="80" w:type="dxa"/>
              <w:start w:w="80" w:type="dxa"/>
              <w:bottom w:w="80" w:type="dxa"/>
              <w:end w:w="80" w:type="dxa"/>
            </w:tcMar>
          </w:tcPr>
          <w:p>
            <w:r>
              <w:rPr>
                <w:sz w:val="17"/>
              </w:rPr>
              <w:t>Time intelligence, monthly and quarterly reporting, evidence periods.</w:t>
            </w:r>
          </w:p>
        </w:tc>
      </w:tr>
      <w:tr>
        <w:tc>
          <w:tcPr>
            <w:tcW w:type="dxa" w:w="2448"/>
            <w:vAlign w:val="top"/>
            <w:tcMar>
              <w:top w:w="80" w:type="dxa"/>
              <w:start w:w="80" w:type="dxa"/>
              <w:bottom w:w="80" w:type="dxa"/>
              <w:end w:w="80" w:type="dxa"/>
            </w:tcMar>
          </w:tcPr>
          <w:p>
            <w:r>
              <w:rPr>
                <w:sz w:val="17"/>
              </w:rPr>
              <w:t>Dim_Device</w:t>
            </w:r>
          </w:p>
        </w:tc>
        <w:tc>
          <w:tcPr>
            <w:tcW w:type="dxa" w:w="3024"/>
            <w:vAlign w:val="top"/>
            <w:tcMar>
              <w:top w:w="80" w:type="dxa"/>
              <w:start w:w="80" w:type="dxa"/>
              <w:bottom w:w="80" w:type="dxa"/>
              <w:end w:w="80" w:type="dxa"/>
            </w:tcMar>
          </w:tcPr>
          <w:p>
            <w:r>
              <w:rPr>
                <w:sz w:val="17"/>
              </w:rPr>
              <w:t>One row per canonical device</w:t>
            </w:r>
          </w:p>
        </w:tc>
        <w:tc>
          <w:tcPr>
            <w:tcW w:type="dxa" w:w="6048"/>
            <w:vAlign w:val="top"/>
            <w:tcMar>
              <w:top w:w="80" w:type="dxa"/>
              <w:start w:w="80" w:type="dxa"/>
              <w:bottom w:w="80" w:type="dxa"/>
              <w:end w:w="80" w:type="dxa"/>
            </w:tcMar>
          </w:tcPr>
          <w:p>
            <w:r>
              <w:rPr>
                <w:sz w:val="17"/>
              </w:rPr>
              <w:t>Authoritative endpoint population and organizational context.</w:t>
            </w:r>
          </w:p>
        </w:tc>
      </w:tr>
      <w:tr>
        <w:tc>
          <w:tcPr>
            <w:tcW w:type="dxa" w:w="2448"/>
            <w:vAlign w:val="top"/>
            <w:tcMar>
              <w:top w:w="80" w:type="dxa"/>
              <w:start w:w="80" w:type="dxa"/>
              <w:bottom w:w="80" w:type="dxa"/>
              <w:end w:w="80" w:type="dxa"/>
            </w:tcMar>
          </w:tcPr>
          <w:p>
            <w:r>
              <w:rPr>
                <w:sz w:val="17"/>
              </w:rPr>
              <w:t>Dim_Organization</w:t>
            </w:r>
          </w:p>
        </w:tc>
        <w:tc>
          <w:tcPr>
            <w:tcW w:type="dxa" w:w="3024"/>
            <w:vAlign w:val="top"/>
            <w:tcMar>
              <w:top w:w="80" w:type="dxa"/>
              <w:start w:w="80" w:type="dxa"/>
              <w:bottom w:w="80" w:type="dxa"/>
              <w:end w:w="80" w:type="dxa"/>
            </w:tcMar>
          </w:tcPr>
          <w:p>
            <w:r>
              <w:rPr>
                <w:sz w:val="17"/>
              </w:rPr>
              <w:t>One row per organizational node</w:t>
            </w:r>
          </w:p>
        </w:tc>
        <w:tc>
          <w:tcPr>
            <w:tcW w:type="dxa" w:w="6048"/>
            <w:vAlign w:val="top"/>
            <w:tcMar>
              <w:top w:w="80" w:type="dxa"/>
              <w:start w:w="80" w:type="dxa"/>
              <w:bottom w:w="80" w:type="dxa"/>
              <w:end w:w="80" w:type="dxa"/>
            </w:tcMar>
          </w:tcPr>
          <w:p>
            <w:r>
              <w:rPr>
                <w:sz w:val="17"/>
              </w:rPr>
              <w:t>Division, business unit, cost center, CIO organization, support group.</w:t>
            </w:r>
          </w:p>
        </w:tc>
      </w:tr>
      <w:tr>
        <w:tc>
          <w:tcPr>
            <w:tcW w:type="dxa" w:w="2448"/>
            <w:vAlign w:val="top"/>
            <w:tcMar>
              <w:top w:w="80" w:type="dxa"/>
              <w:start w:w="80" w:type="dxa"/>
              <w:bottom w:w="80" w:type="dxa"/>
              <w:end w:w="80" w:type="dxa"/>
            </w:tcMar>
          </w:tcPr>
          <w:p>
            <w:r>
              <w:rPr>
                <w:sz w:val="17"/>
              </w:rPr>
              <w:t>Dim_Region</w:t>
            </w:r>
          </w:p>
        </w:tc>
        <w:tc>
          <w:tcPr>
            <w:tcW w:type="dxa" w:w="3024"/>
            <w:vAlign w:val="top"/>
            <w:tcMar>
              <w:top w:w="80" w:type="dxa"/>
              <w:start w:w="80" w:type="dxa"/>
              <w:bottom w:w="80" w:type="dxa"/>
              <w:end w:w="80" w:type="dxa"/>
            </w:tcMar>
          </w:tcPr>
          <w:p>
            <w:r>
              <w:rPr>
                <w:sz w:val="17"/>
              </w:rPr>
              <w:t>One row per reporting geography</w:t>
            </w:r>
          </w:p>
        </w:tc>
        <w:tc>
          <w:tcPr>
            <w:tcW w:type="dxa" w:w="6048"/>
            <w:vAlign w:val="top"/>
            <w:tcMar>
              <w:top w:w="80" w:type="dxa"/>
              <w:start w:w="80" w:type="dxa"/>
              <w:bottom w:w="80" w:type="dxa"/>
              <w:end w:w="80" w:type="dxa"/>
            </w:tcMar>
          </w:tcPr>
          <w:p>
            <w:r>
              <w:rPr>
                <w:sz w:val="17"/>
              </w:rPr>
              <w:t>Region, country, office, regulatory jurisdiction.</w:t>
            </w:r>
          </w:p>
        </w:tc>
      </w:tr>
      <w:tr>
        <w:tc>
          <w:tcPr>
            <w:tcW w:type="dxa" w:w="2448"/>
            <w:vAlign w:val="top"/>
            <w:tcMar>
              <w:top w:w="80" w:type="dxa"/>
              <w:start w:w="80" w:type="dxa"/>
              <w:bottom w:w="80" w:type="dxa"/>
              <w:end w:w="80" w:type="dxa"/>
            </w:tcMar>
          </w:tcPr>
          <w:p>
            <w:r>
              <w:rPr>
                <w:sz w:val="17"/>
              </w:rPr>
              <w:t>Dim_Platform</w:t>
            </w:r>
          </w:p>
        </w:tc>
        <w:tc>
          <w:tcPr>
            <w:tcW w:type="dxa" w:w="3024"/>
            <w:vAlign w:val="top"/>
            <w:tcMar>
              <w:top w:w="80" w:type="dxa"/>
              <w:start w:w="80" w:type="dxa"/>
              <w:bottom w:w="80" w:type="dxa"/>
              <w:end w:w="80" w:type="dxa"/>
            </w:tcMar>
          </w:tcPr>
          <w:p>
            <w:r>
              <w:rPr>
                <w:sz w:val="17"/>
              </w:rPr>
              <w:t>One row per platform or OS family</w:t>
            </w:r>
          </w:p>
        </w:tc>
        <w:tc>
          <w:tcPr>
            <w:tcW w:type="dxa" w:w="6048"/>
            <w:vAlign w:val="top"/>
            <w:tcMar>
              <w:top w:w="80" w:type="dxa"/>
              <w:start w:w="80" w:type="dxa"/>
              <w:bottom w:w="80" w:type="dxa"/>
              <w:end w:w="80" w:type="dxa"/>
            </w:tcMar>
          </w:tcPr>
          <w:p>
            <w:r>
              <w:rPr>
                <w:sz w:val="17"/>
              </w:rPr>
              <w:t>Windows, macOS, iOS, Android, supported versions, management tool.</w:t>
            </w:r>
          </w:p>
        </w:tc>
      </w:tr>
      <w:tr>
        <w:tc>
          <w:tcPr>
            <w:tcW w:type="dxa" w:w="2448"/>
            <w:vAlign w:val="top"/>
            <w:tcMar>
              <w:top w:w="80" w:type="dxa"/>
              <w:start w:w="80" w:type="dxa"/>
              <w:bottom w:w="80" w:type="dxa"/>
              <w:end w:w="80" w:type="dxa"/>
            </w:tcMar>
          </w:tcPr>
          <w:p>
            <w:r>
              <w:rPr>
                <w:sz w:val="17"/>
              </w:rPr>
              <w:t>Dim_Control</w:t>
            </w:r>
          </w:p>
        </w:tc>
        <w:tc>
          <w:tcPr>
            <w:tcW w:type="dxa" w:w="3024"/>
            <w:vAlign w:val="top"/>
            <w:tcMar>
              <w:top w:w="80" w:type="dxa"/>
              <w:start w:w="80" w:type="dxa"/>
              <w:bottom w:w="80" w:type="dxa"/>
              <w:end w:w="80" w:type="dxa"/>
            </w:tcMar>
          </w:tcPr>
          <w:p>
            <w:r>
              <w:rPr>
                <w:sz w:val="17"/>
              </w:rPr>
              <w:t>One row per audit or compliance control</w:t>
            </w:r>
          </w:p>
        </w:tc>
        <w:tc>
          <w:tcPr>
            <w:tcW w:type="dxa" w:w="6048"/>
            <w:vAlign w:val="top"/>
            <w:tcMar>
              <w:top w:w="80" w:type="dxa"/>
              <w:start w:w="80" w:type="dxa"/>
              <w:bottom w:w="80" w:type="dxa"/>
              <w:end w:w="80" w:type="dxa"/>
            </w:tcMar>
          </w:tcPr>
          <w:p>
            <w:r>
              <w:rPr>
                <w:sz w:val="17"/>
              </w:rPr>
              <w:t>Control definition, standard, threshold, criticality, applicability, SLA.</w:t>
            </w:r>
          </w:p>
        </w:tc>
      </w:tr>
      <w:tr>
        <w:tc>
          <w:tcPr>
            <w:tcW w:type="dxa" w:w="2448"/>
            <w:vAlign w:val="top"/>
            <w:tcMar>
              <w:top w:w="80" w:type="dxa"/>
              <w:start w:w="80" w:type="dxa"/>
              <w:bottom w:w="80" w:type="dxa"/>
              <w:end w:w="80" w:type="dxa"/>
            </w:tcMar>
          </w:tcPr>
          <w:p>
            <w:r>
              <w:rPr>
                <w:sz w:val="17"/>
              </w:rPr>
              <w:t>Dim_Software</w:t>
            </w:r>
          </w:p>
        </w:tc>
        <w:tc>
          <w:tcPr>
            <w:tcW w:type="dxa" w:w="3024"/>
            <w:vAlign w:val="top"/>
            <w:tcMar>
              <w:top w:w="80" w:type="dxa"/>
              <w:start w:w="80" w:type="dxa"/>
              <w:bottom w:w="80" w:type="dxa"/>
              <w:end w:w="80" w:type="dxa"/>
            </w:tcMar>
          </w:tcPr>
          <w:p>
            <w:r>
              <w:rPr>
                <w:sz w:val="17"/>
              </w:rPr>
              <w:t>One row per normalized software product</w:t>
            </w:r>
          </w:p>
        </w:tc>
        <w:tc>
          <w:tcPr>
            <w:tcW w:type="dxa" w:w="6048"/>
            <w:vAlign w:val="top"/>
            <w:tcMar>
              <w:top w:w="80" w:type="dxa"/>
              <w:start w:w="80" w:type="dxa"/>
              <w:bottom w:w="80" w:type="dxa"/>
              <w:end w:w="80" w:type="dxa"/>
            </w:tcMar>
          </w:tcPr>
          <w:p>
            <w:r>
              <w:rPr>
                <w:sz w:val="17"/>
              </w:rPr>
              <w:t>Publisher, title, approval state, current version, EOL and OOS dates.</w:t>
            </w:r>
          </w:p>
        </w:tc>
      </w:tr>
      <w:tr>
        <w:tc>
          <w:tcPr>
            <w:tcW w:type="dxa" w:w="2448"/>
            <w:vAlign w:val="top"/>
            <w:tcMar>
              <w:top w:w="80" w:type="dxa"/>
              <w:start w:w="80" w:type="dxa"/>
              <w:bottom w:w="80" w:type="dxa"/>
              <w:end w:w="80" w:type="dxa"/>
            </w:tcMar>
          </w:tcPr>
          <w:p>
            <w:r>
              <w:rPr>
                <w:sz w:val="17"/>
              </w:rPr>
              <w:t>Dim_SourceSystem</w:t>
            </w:r>
          </w:p>
        </w:tc>
        <w:tc>
          <w:tcPr>
            <w:tcW w:type="dxa" w:w="3024"/>
            <w:vAlign w:val="top"/>
            <w:tcMar>
              <w:top w:w="80" w:type="dxa"/>
              <w:start w:w="80" w:type="dxa"/>
              <w:bottom w:w="80" w:type="dxa"/>
              <w:end w:w="80" w:type="dxa"/>
            </w:tcMar>
          </w:tcPr>
          <w:p>
            <w:r>
              <w:rPr>
                <w:sz w:val="17"/>
              </w:rPr>
              <w:t>One row per source system</w:t>
            </w:r>
          </w:p>
        </w:tc>
        <w:tc>
          <w:tcPr>
            <w:tcW w:type="dxa" w:w="6048"/>
            <w:vAlign w:val="top"/>
            <w:tcMar>
              <w:top w:w="80" w:type="dxa"/>
              <w:start w:w="80" w:type="dxa"/>
              <w:bottom w:w="80" w:type="dxa"/>
              <w:end w:w="80" w:type="dxa"/>
            </w:tcMar>
          </w:tcPr>
          <w:p>
            <w:r>
              <w:rPr>
                <w:sz w:val="17"/>
              </w:rPr>
              <w:t>System owner, data owner, authoritative domains, freshness expectations.</w:t>
            </w:r>
          </w:p>
        </w:tc>
      </w:tr>
    </w:tbl>
    <w:p>
      <w:pPr>
        <w:keepLines w:val="0"/>
      </w:pPr>
    </w:p>
    <w:p>
      <w:pPr>
        <w:pStyle w:val="Heading2"/>
        <w:keepLines w:val="0"/>
      </w:pPr>
      <w:r>
        <w:t>5.2 Fact Tables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592"/>
            <w:shd w:fill="1F4E78"/>
            <w:vAlign w:val="center"/>
            <w:tcMar>
              <w:top w:w="80" w:type="dxa"/>
              <w:start w:w="80" w:type="dxa"/>
              <w:bottom w:w="80" w:type="dxa"/>
              <w:end w:w="80" w:type="dxa"/>
            </w:tcMar>
          </w:tcPr>
          <w:p>
            <w:pPr>
              <w:jc w:val="center"/>
            </w:pPr>
            <w:r>
              <w:rPr>
                <w:b/>
                <w:color w:val="FFFFFF"/>
                <w:sz w:val="18"/>
              </w:rPr>
              <w:t>Fact Table</w:t>
            </w:r>
          </w:p>
        </w:tc>
        <w:tc>
          <w:tcPr>
            <w:tcW w:type="dxa" w:w="3744"/>
            <w:shd w:fill="1F4E78"/>
            <w:vAlign w:val="center"/>
            <w:tcMar>
              <w:top w:w="80" w:type="dxa"/>
              <w:start w:w="80" w:type="dxa"/>
              <w:bottom w:w="80" w:type="dxa"/>
              <w:end w:w="80" w:type="dxa"/>
            </w:tcMar>
          </w:tcPr>
          <w:p>
            <w:pPr>
              <w:jc w:val="center"/>
            </w:pPr>
            <w:r>
              <w:rPr>
                <w:b/>
                <w:color w:val="FFFFFF"/>
                <w:sz w:val="18"/>
              </w:rPr>
              <w:t>Recommended Grain</w:t>
            </w:r>
          </w:p>
        </w:tc>
        <w:tc>
          <w:tcPr>
            <w:tcW w:type="dxa" w:w="5184"/>
            <w:shd w:fill="1F4E78"/>
            <w:vAlign w:val="center"/>
            <w:tcMar>
              <w:top w:w="80" w:type="dxa"/>
              <w:start w:w="80" w:type="dxa"/>
              <w:bottom w:w="80" w:type="dxa"/>
              <w:end w:w="80" w:type="dxa"/>
            </w:tcMar>
          </w:tcPr>
          <w:p>
            <w:pPr>
              <w:jc w:val="center"/>
            </w:pPr>
            <w:r>
              <w:rPr>
                <w:b/>
                <w:color w:val="FFFFFF"/>
                <w:sz w:val="18"/>
              </w:rPr>
              <w:t>Primary Use</w:t>
            </w:r>
          </w:p>
        </w:tc>
      </w:tr>
      <w:tr>
        <w:tc>
          <w:tcPr>
            <w:tcW w:type="dxa" w:w="2592"/>
            <w:vAlign w:val="top"/>
            <w:tcMar>
              <w:top w:w="80" w:type="dxa"/>
              <w:start w:w="80" w:type="dxa"/>
              <w:bottom w:w="80" w:type="dxa"/>
              <w:end w:w="80" w:type="dxa"/>
            </w:tcMar>
          </w:tcPr>
          <w:p>
            <w:r>
              <w:rPr>
                <w:sz w:val="17"/>
              </w:rPr>
              <w:t>Fact_DeviceConfiguration</w:t>
            </w:r>
          </w:p>
        </w:tc>
        <w:tc>
          <w:tcPr>
            <w:tcW w:type="dxa" w:w="3744"/>
            <w:vAlign w:val="top"/>
            <w:tcMar>
              <w:top w:w="80" w:type="dxa"/>
              <w:start w:w="80" w:type="dxa"/>
              <w:bottom w:w="80" w:type="dxa"/>
              <w:end w:w="80" w:type="dxa"/>
            </w:tcMar>
          </w:tcPr>
          <w:p>
            <w:r>
              <w:rPr>
                <w:sz w:val="17"/>
              </w:rPr>
              <w:t>Device x control x snapshot date</w:t>
            </w:r>
          </w:p>
        </w:tc>
        <w:tc>
          <w:tcPr>
            <w:tcW w:type="dxa" w:w="5184"/>
            <w:vAlign w:val="top"/>
            <w:tcMar>
              <w:top w:w="80" w:type="dxa"/>
              <w:start w:w="80" w:type="dxa"/>
              <w:bottom w:w="80" w:type="dxa"/>
              <w:end w:w="80" w:type="dxa"/>
            </w:tcMar>
          </w:tcPr>
          <w:p>
            <w:r>
              <w:rPr>
                <w:sz w:val="17"/>
              </w:rPr>
              <w:t>Baseline compliance, agent state, firewall, antivirus, passwordless, drift.</w:t>
            </w:r>
          </w:p>
        </w:tc>
      </w:tr>
      <w:tr>
        <w:tc>
          <w:tcPr>
            <w:tcW w:type="dxa" w:w="2592"/>
            <w:vAlign w:val="top"/>
            <w:tcMar>
              <w:top w:w="80" w:type="dxa"/>
              <w:start w:w="80" w:type="dxa"/>
              <w:bottom w:w="80" w:type="dxa"/>
              <w:end w:w="80" w:type="dxa"/>
            </w:tcMar>
          </w:tcPr>
          <w:p>
            <w:r>
              <w:rPr>
                <w:sz w:val="17"/>
              </w:rPr>
              <w:t>Fact_Encryption</w:t>
            </w:r>
          </w:p>
        </w:tc>
        <w:tc>
          <w:tcPr>
            <w:tcW w:type="dxa" w:w="3744"/>
            <w:vAlign w:val="top"/>
            <w:tcMar>
              <w:top w:w="80" w:type="dxa"/>
              <w:start w:w="80" w:type="dxa"/>
              <w:bottom w:w="80" w:type="dxa"/>
              <w:end w:w="80" w:type="dxa"/>
            </w:tcMar>
          </w:tcPr>
          <w:p>
            <w:r>
              <w:rPr>
                <w:sz w:val="17"/>
              </w:rPr>
              <w:t>Device x snapshot date</w:t>
            </w:r>
          </w:p>
        </w:tc>
        <w:tc>
          <w:tcPr>
            <w:tcW w:type="dxa" w:w="5184"/>
            <w:vAlign w:val="top"/>
            <w:tcMar>
              <w:top w:w="80" w:type="dxa"/>
              <w:start w:w="80" w:type="dxa"/>
              <w:bottom w:w="80" w:type="dxa"/>
              <w:end w:w="80" w:type="dxa"/>
            </w:tcMar>
          </w:tcPr>
          <w:p>
            <w:r>
              <w:rPr>
                <w:sz w:val="17"/>
              </w:rPr>
              <w:t>BitLocker, FileVault, recovery escrow, portable media, exceptions.</w:t>
            </w:r>
          </w:p>
        </w:tc>
      </w:tr>
      <w:tr>
        <w:tc>
          <w:tcPr>
            <w:tcW w:type="dxa" w:w="2592"/>
            <w:vAlign w:val="top"/>
            <w:tcMar>
              <w:top w:w="80" w:type="dxa"/>
              <w:start w:w="80" w:type="dxa"/>
              <w:bottom w:w="80" w:type="dxa"/>
              <w:end w:w="80" w:type="dxa"/>
            </w:tcMar>
          </w:tcPr>
          <w:p>
            <w:r>
              <w:rPr>
                <w:sz w:val="17"/>
              </w:rPr>
              <w:t>Fact_Vulnerability</w:t>
            </w:r>
          </w:p>
        </w:tc>
        <w:tc>
          <w:tcPr>
            <w:tcW w:type="dxa" w:w="3744"/>
            <w:vAlign w:val="top"/>
            <w:tcMar>
              <w:top w:w="80" w:type="dxa"/>
              <w:start w:w="80" w:type="dxa"/>
              <w:bottom w:w="80" w:type="dxa"/>
              <w:end w:w="80" w:type="dxa"/>
            </w:tcMar>
          </w:tcPr>
          <w:p>
            <w:r>
              <w:rPr>
                <w:sz w:val="17"/>
              </w:rPr>
              <w:t>Device x vulnerability finding x observation date</w:t>
            </w:r>
          </w:p>
        </w:tc>
        <w:tc>
          <w:tcPr>
            <w:tcW w:type="dxa" w:w="5184"/>
            <w:vAlign w:val="top"/>
            <w:tcMar>
              <w:top w:w="80" w:type="dxa"/>
              <w:start w:w="80" w:type="dxa"/>
              <w:bottom w:w="80" w:type="dxa"/>
              <w:end w:w="80" w:type="dxa"/>
            </w:tcMar>
          </w:tcPr>
          <w:p>
            <w:r>
              <w:rPr>
                <w:sz w:val="17"/>
              </w:rPr>
              <w:t>CVE detail, severity, age, SLA, remediation, unscored findings.</w:t>
            </w:r>
          </w:p>
        </w:tc>
      </w:tr>
      <w:tr>
        <w:tc>
          <w:tcPr>
            <w:tcW w:type="dxa" w:w="2592"/>
            <w:vAlign w:val="top"/>
            <w:tcMar>
              <w:top w:w="80" w:type="dxa"/>
              <w:start w:w="80" w:type="dxa"/>
              <w:bottom w:w="80" w:type="dxa"/>
              <w:end w:w="80" w:type="dxa"/>
            </w:tcMar>
          </w:tcPr>
          <w:p>
            <w:r>
              <w:rPr>
                <w:sz w:val="17"/>
              </w:rPr>
              <w:t>Fact_Patch</w:t>
            </w:r>
          </w:p>
        </w:tc>
        <w:tc>
          <w:tcPr>
            <w:tcW w:type="dxa" w:w="3744"/>
            <w:vAlign w:val="top"/>
            <w:tcMar>
              <w:top w:w="80" w:type="dxa"/>
              <w:start w:w="80" w:type="dxa"/>
              <w:bottom w:w="80" w:type="dxa"/>
              <w:end w:w="80" w:type="dxa"/>
            </w:tcMar>
          </w:tcPr>
          <w:p>
            <w:r>
              <w:rPr>
                <w:sz w:val="17"/>
              </w:rPr>
              <w:t>Device x patch or device x snapshot date</w:t>
            </w:r>
          </w:p>
        </w:tc>
        <w:tc>
          <w:tcPr>
            <w:tcW w:type="dxa" w:w="5184"/>
            <w:vAlign w:val="top"/>
            <w:tcMar>
              <w:top w:w="80" w:type="dxa"/>
              <w:start w:w="80" w:type="dxa"/>
              <w:bottom w:w="80" w:type="dxa"/>
              <w:end w:w="80" w:type="dxa"/>
            </w:tcMar>
          </w:tcPr>
          <w:p>
            <w:r>
              <w:rPr>
                <w:sz w:val="17"/>
              </w:rPr>
              <w:t>Missing patches, release level, patch age, SLA compliance.</w:t>
            </w:r>
          </w:p>
        </w:tc>
      </w:tr>
      <w:tr>
        <w:tc>
          <w:tcPr>
            <w:tcW w:type="dxa" w:w="2592"/>
            <w:vAlign w:val="top"/>
            <w:tcMar>
              <w:top w:w="80" w:type="dxa"/>
              <w:start w:w="80" w:type="dxa"/>
              <w:bottom w:w="80" w:type="dxa"/>
              <w:end w:w="80" w:type="dxa"/>
            </w:tcMar>
          </w:tcPr>
          <w:p>
            <w:r>
              <w:rPr>
                <w:sz w:val="17"/>
              </w:rPr>
              <w:t>Fact_DeviceLifecycle</w:t>
            </w:r>
          </w:p>
        </w:tc>
        <w:tc>
          <w:tcPr>
            <w:tcW w:type="dxa" w:w="3744"/>
            <w:vAlign w:val="top"/>
            <w:tcMar>
              <w:top w:w="80" w:type="dxa"/>
              <w:start w:w="80" w:type="dxa"/>
              <w:bottom w:w="80" w:type="dxa"/>
              <w:end w:w="80" w:type="dxa"/>
            </w:tcMar>
          </w:tcPr>
          <w:p>
            <w:r>
              <w:rPr>
                <w:sz w:val="17"/>
              </w:rPr>
              <w:t>Device x lifecycle event</w:t>
            </w:r>
          </w:p>
        </w:tc>
        <w:tc>
          <w:tcPr>
            <w:tcW w:type="dxa" w:w="5184"/>
            <w:vAlign w:val="top"/>
            <w:tcMar>
              <w:top w:w="80" w:type="dxa"/>
              <w:start w:w="80" w:type="dxa"/>
              <w:bottom w:w="80" w:type="dxa"/>
              <w:end w:w="80" w:type="dxa"/>
            </w:tcMar>
          </w:tcPr>
          <w:p>
            <w:r>
              <w:rPr>
                <w:sz w:val="17"/>
              </w:rPr>
              <w:t>Onboarding, assignment, lost/stolen, sanitization, disposal, EOL exception.</w:t>
            </w:r>
          </w:p>
        </w:tc>
      </w:tr>
      <w:tr>
        <w:tc>
          <w:tcPr>
            <w:tcW w:type="dxa" w:w="2592"/>
            <w:vAlign w:val="top"/>
            <w:tcMar>
              <w:top w:w="80" w:type="dxa"/>
              <w:start w:w="80" w:type="dxa"/>
              <w:bottom w:w="80" w:type="dxa"/>
              <w:end w:w="80" w:type="dxa"/>
            </w:tcMar>
          </w:tcPr>
          <w:p>
            <w:r>
              <w:rPr>
                <w:sz w:val="17"/>
              </w:rPr>
              <w:t>Fact_SoftwareInventory</w:t>
            </w:r>
          </w:p>
        </w:tc>
        <w:tc>
          <w:tcPr>
            <w:tcW w:type="dxa" w:w="3744"/>
            <w:vAlign w:val="top"/>
            <w:tcMar>
              <w:top w:w="80" w:type="dxa"/>
              <w:start w:w="80" w:type="dxa"/>
              <w:bottom w:w="80" w:type="dxa"/>
              <w:end w:w="80" w:type="dxa"/>
            </w:tcMar>
          </w:tcPr>
          <w:p>
            <w:r>
              <w:rPr>
                <w:sz w:val="17"/>
              </w:rPr>
              <w:t>Device x software installation</w:t>
            </w:r>
          </w:p>
        </w:tc>
        <w:tc>
          <w:tcPr>
            <w:tcW w:type="dxa" w:w="5184"/>
            <w:vAlign w:val="top"/>
            <w:tcMar>
              <w:top w:w="80" w:type="dxa"/>
              <w:start w:w="80" w:type="dxa"/>
              <w:bottom w:w="80" w:type="dxa"/>
              <w:end w:w="80" w:type="dxa"/>
            </w:tcMar>
          </w:tcPr>
          <w:p>
            <w:r>
              <w:rPr>
                <w:sz w:val="17"/>
              </w:rPr>
              <w:t>Installed version, approval state, support and EOL compliance.</w:t>
            </w:r>
          </w:p>
        </w:tc>
      </w:tr>
      <w:tr>
        <w:tc>
          <w:tcPr>
            <w:tcW w:type="dxa" w:w="2592"/>
            <w:vAlign w:val="top"/>
            <w:tcMar>
              <w:top w:w="80" w:type="dxa"/>
              <w:start w:w="80" w:type="dxa"/>
              <w:bottom w:w="80" w:type="dxa"/>
              <w:end w:w="80" w:type="dxa"/>
            </w:tcMar>
          </w:tcPr>
          <w:p>
            <w:r>
              <w:rPr>
                <w:sz w:val="17"/>
              </w:rPr>
              <w:t>Fact_SoftwareWorkflow</w:t>
            </w:r>
          </w:p>
        </w:tc>
        <w:tc>
          <w:tcPr>
            <w:tcW w:type="dxa" w:w="3744"/>
            <w:vAlign w:val="top"/>
            <w:tcMar>
              <w:top w:w="80" w:type="dxa"/>
              <w:start w:w="80" w:type="dxa"/>
              <w:bottom w:w="80" w:type="dxa"/>
              <w:end w:w="80" w:type="dxa"/>
            </w:tcMar>
          </w:tcPr>
          <w:p>
            <w:r>
              <w:rPr>
                <w:sz w:val="17"/>
              </w:rPr>
              <w:t>Software request or lifecycle record</w:t>
            </w:r>
          </w:p>
        </w:tc>
        <w:tc>
          <w:tcPr>
            <w:tcW w:type="dxa" w:w="5184"/>
            <w:vAlign w:val="top"/>
            <w:tcMar>
              <w:top w:w="80" w:type="dxa"/>
              <w:start w:w="80" w:type="dxa"/>
              <w:bottom w:w="80" w:type="dxa"/>
              <w:end w:w="80" w:type="dxa"/>
            </w:tcMar>
          </w:tcPr>
          <w:p>
            <w:r>
              <w:rPr>
                <w:sz w:val="17"/>
              </w:rPr>
              <w:t>Request, assessment, approval, packaging, pilot, production, retirement.</w:t>
            </w:r>
          </w:p>
        </w:tc>
      </w:tr>
      <w:tr>
        <w:tc>
          <w:tcPr>
            <w:tcW w:type="dxa" w:w="2592"/>
            <w:vAlign w:val="top"/>
            <w:tcMar>
              <w:top w:w="80" w:type="dxa"/>
              <w:start w:w="80" w:type="dxa"/>
              <w:bottom w:w="80" w:type="dxa"/>
              <w:end w:w="80" w:type="dxa"/>
            </w:tcMar>
          </w:tcPr>
          <w:p>
            <w:r>
              <w:rPr>
                <w:sz w:val="17"/>
              </w:rPr>
              <w:t>Fact_Exception</w:t>
            </w:r>
          </w:p>
        </w:tc>
        <w:tc>
          <w:tcPr>
            <w:tcW w:type="dxa" w:w="3744"/>
            <w:vAlign w:val="top"/>
            <w:tcMar>
              <w:top w:w="80" w:type="dxa"/>
              <w:start w:w="80" w:type="dxa"/>
              <w:bottom w:w="80" w:type="dxa"/>
              <w:end w:w="80" w:type="dxa"/>
            </w:tcMar>
          </w:tcPr>
          <w:p>
            <w:r>
              <w:rPr>
                <w:sz w:val="17"/>
              </w:rPr>
              <w:t>Approved exception</w:t>
            </w:r>
          </w:p>
        </w:tc>
        <w:tc>
          <w:tcPr>
            <w:tcW w:type="dxa" w:w="5184"/>
            <w:vAlign w:val="top"/>
            <w:tcMar>
              <w:top w:w="80" w:type="dxa"/>
              <w:start w:w="80" w:type="dxa"/>
              <w:bottom w:w="80" w:type="dxa"/>
              <w:end w:w="80" w:type="dxa"/>
            </w:tcMar>
          </w:tcPr>
          <w:p>
            <w:r>
              <w:rPr>
                <w:sz w:val="17"/>
              </w:rPr>
              <w:t>Control or device exception, approver, duration, risk record, compensating control.</w:t>
            </w:r>
          </w:p>
        </w:tc>
      </w:tr>
      <w:tr>
        <w:tc>
          <w:tcPr>
            <w:tcW w:type="dxa" w:w="2592"/>
            <w:vAlign w:val="top"/>
            <w:tcMar>
              <w:top w:w="80" w:type="dxa"/>
              <w:start w:w="80" w:type="dxa"/>
              <w:bottom w:w="80" w:type="dxa"/>
              <w:end w:w="80" w:type="dxa"/>
            </w:tcMar>
          </w:tcPr>
          <w:p>
            <w:r>
              <w:rPr>
                <w:sz w:val="17"/>
              </w:rPr>
              <w:t>Fact_EvidenceRegister</w:t>
            </w:r>
          </w:p>
        </w:tc>
        <w:tc>
          <w:tcPr>
            <w:tcW w:type="dxa" w:w="3744"/>
            <w:vAlign w:val="top"/>
            <w:tcMar>
              <w:top w:w="80" w:type="dxa"/>
              <w:start w:w="80" w:type="dxa"/>
              <w:bottom w:w="80" w:type="dxa"/>
              <w:end w:w="80" w:type="dxa"/>
            </w:tcMar>
          </w:tcPr>
          <w:p>
            <w:r>
              <w:rPr>
                <w:sz w:val="17"/>
              </w:rPr>
              <w:t>Evidence artifact</w:t>
            </w:r>
          </w:p>
        </w:tc>
        <w:tc>
          <w:tcPr>
            <w:tcW w:type="dxa" w:w="5184"/>
            <w:vAlign w:val="top"/>
            <w:tcMar>
              <w:top w:w="80" w:type="dxa"/>
              <w:start w:w="80" w:type="dxa"/>
              <w:bottom w:w="80" w:type="dxa"/>
              <w:end w:w="80" w:type="dxa"/>
            </w:tcMar>
          </w:tcPr>
          <w:p>
            <w:r>
              <w:rPr>
                <w:sz w:val="17"/>
              </w:rPr>
              <w:t>Document owner, review cycle, control mapping, SharePoint location, evidence period.</w:t>
            </w:r>
          </w:p>
        </w:tc>
      </w:tr>
      <w:tr>
        <w:tc>
          <w:tcPr>
            <w:tcW w:type="dxa" w:w="2592"/>
            <w:vAlign w:val="top"/>
            <w:tcMar>
              <w:top w:w="80" w:type="dxa"/>
              <w:start w:w="80" w:type="dxa"/>
              <w:bottom w:w="80" w:type="dxa"/>
              <w:end w:w="80" w:type="dxa"/>
            </w:tcMar>
          </w:tcPr>
          <w:p>
            <w:r>
              <w:rPr>
                <w:sz w:val="17"/>
              </w:rPr>
              <w:t>Fact_DataQuality</w:t>
            </w:r>
          </w:p>
        </w:tc>
        <w:tc>
          <w:tcPr>
            <w:tcW w:type="dxa" w:w="3744"/>
            <w:vAlign w:val="top"/>
            <w:tcMar>
              <w:top w:w="80" w:type="dxa"/>
              <w:start w:w="80" w:type="dxa"/>
              <w:bottom w:w="80" w:type="dxa"/>
              <w:end w:w="80" w:type="dxa"/>
            </w:tcMar>
          </w:tcPr>
          <w:p>
            <w:r>
              <w:rPr>
                <w:sz w:val="17"/>
              </w:rPr>
              <w:t>Source x rule x run</w:t>
            </w:r>
          </w:p>
        </w:tc>
        <w:tc>
          <w:tcPr>
            <w:tcW w:type="dxa" w:w="5184"/>
            <w:vAlign w:val="top"/>
            <w:tcMar>
              <w:top w:w="80" w:type="dxa"/>
              <w:start w:w="80" w:type="dxa"/>
              <w:bottom w:w="80" w:type="dxa"/>
              <w:end w:w="80" w:type="dxa"/>
            </w:tcMar>
          </w:tcPr>
          <w:p>
            <w:r>
              <w:rPr>
                <w:sz w:val="17"/>
              </w:rPr>
              <w:t>Completeness, duplication, timeliness, correlation, rejection, freshness.</w:t>
            </w:r>
          </w:p>
        </w:tc>
      </w:tr>
    </w:tbl>
    <w:p>
      <w:pPr>
        <w:keepLines w:val="0"/>
      </w:pPr>
    </w:p>
    <w:p>
      <w:pPr>
        <w:pStyle w:val="Heading2"/>
        <w:keepLines w:val="0"/>
      </w:pPr>
      <w:r>
        <w:t>5.3 Compliance Status Model</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592"/>
            <w:shd w:fill="1F4E78"/>
            <w:vAlign w:val="center"/>
            <w:tcMar>
              <w:top w:w="80" w:type="dxa"/>
              <w:start w:w="80" w:type="dxa"/>
              <w:bottom w:w="80" w:type="dxa"/>
              <w:end w:w="80" w:type="dxa"/>
            </w:tcMar>
          </w:tcPr>
          <w:p>
            <w:pPr>
              <w:jc w:val="center"/>
            </w:pPr>
            <w:r>
              <w:rPr>
                <w:b/>
                <w:color w:val="FFFFFF"/>
                <w:sz w:val="18"/>
              </w:rPr>
              <w:t>Status</w:t>
            </w:r>
          </w:p>
        </w:tc>
        <w:tc>
          <w:tcPr>
            <w:tcW w:type="dxa" w:w="8928"/>
            <w:shd w:fill="1F4E78"/>
            <w:vAlign w:val="center"/>
            <w:tcMar>
              <w:top w:w="80" w:type="dxa"/>
              <w:start w:w="80" w:type="dxa"/>
              <w:bottom w:w="80" w:type="dxa"/>
              <w:end w:w="80" w:type="dxa"/>
            </w:tcMar>
          </w:tcPr>
          <w:p>
            <w:pPr>
              <w:jc w:val="center"/>
            </w:pPr>
            <w:r>
              <w:rPr>
                <w:b/>
                <w:color w:val="FFFFFF"/>
                <w:sz w:val="18"/>
              </w:rPr>
              <w:t>Definition</w:t>
            </w:r>
          </w:p>
        </w:tc>
      </w:tr>
      <w:tr>
        <w:tc>
          <w:tcPr>
            <w:tcW w:type="dxa" w:w="2592"/>
            <w:vAlign w:val="top"/>
            <w:tcMar>
              <w:top w:w="80" w:type="dxa"/>
              <w:start w:w="80" w:type="dxa"/>
              <w:bottom w:w="80" w:type="dxa"/>
              <w:end w:w="80" w:type="dxa"/>
            </w:tcMar>
          </w:tcPr>
          <w:p>
            <w:r>
              <w:rPr>
                <w:sz w:val="17"/>
              </w:rPr>
              <w:t>Compliant</w:t>
            </w:r>
          </w:p>
        </w:tc>
        <w:tc>
          <w:tcPr>
            <w:tcW w:type="dxa" w:w="8928"/>
            <w:vAlign w:val="top"/>
            <w:tcMar>
              <w:top w:w="80" w:type="dxa"/>
              <w:start w:w="80" w:type="dxa"/>
              <w:bottom w:w="80" w:type="dxa"/>
              <w:end w:w="80" w:type="dxa"/>
            </w:tcMar>
          </w:tcPr>
          <w:p>
            <w:r>
              <w:rPr>
                <w:sz w:val="17"/>
              </w:rPr>
              <w:t>Observed value satisfies the applicable control and the evidence is sufficiently current.</w:t>
            </w:r>
          </w:p>
        </w:tc>
      </w:tr>
      <w:tr>
        <w:tc>
          <w:tcPr>
            <w:tcW w:type="dxa" w:w="2592"/>
            <w:vAlign w:val="top"/>
            <w:tcMar>
              <w:top w:w="80" w:type="dxa"/>
              <w:start w:w="80" w:type="dxa"/>
              <w:bottom w:w="80" w:type="dxa"/>
              <w:end w:w="80" w:type="dxa"/>
            </w:tcMar>
          </w:tcPr>
          <w:p>
            <w:r>
              <w:rPr>
                <w:sz w:val="17"/>
              </w:rPr>
              <w:t>Non-Compliant</w:t>
            </w:r>
          </w:p>
        </w:tc>
        <w:tc>
          <w:tcPr>
            <w:tcW w:type="dxa" w:w="8928"/>
            <w:vAlign w:val="top"/>
            <w:tcMar>
              <w:top w:w="80" w:type="dxa"/>
              <w:start w:w="80" w:type="dxa"/>
              <w:bottom w:w="80" w:type="dxa"/>
              <w:end w:w="80" w:type="dxa"/>
            </w:tcMar>
          </w:tcPr>
          <w:p>
            <w:r>
              <w:rPr>
                <w:sz w:val="17"/>
              </w:rPr>
              <w:t>Observed value fails the control and no valid exception applies.</w:t>
            </w:r>
          </w:p>
        </w:tc>
      </w:tr>
      <w:tr>
        <w:tc>
          <w:tcPr>
            <w:tcW w:type="dxa" w:w="2592"/>
            <w:vAlign w:val="top"/>
            <w:tcMar>
              <w:top w:w="80" w:type="dxa"/>
              <w:start w:w="80" w:type="dxa"/>
              <w:bottom w:w="80" w:type="dxa"/>
              <w:end w:w="80" w:type="dxa"/>
            </w:tcMar>
          </w:tcPr>
          <w:p>
            <w:r>
              <w:rPr>
                <w:sz w:val="17"/>
              </w:rPr>
              <w:t>Excepted</w:t>
            </w:r>
          </w:p>
        </w:tc>
        <w:tc>
          <w:tcPr>
            <w:tcW w:type="dxa" w:w="8928"/>
            <w:vAlign w:val="top"/>
            <w:tcMar>
              <w:top w:w="80" w:type="dxa"/>
              <w:start w:w="80" w:type="dxa"/>
              <w:bottom w:w="80" w:type="dxa"/>
              <w:end w:w="80" w:type="dxa"/>
            </w:tcMar>
          </w:tcPr>
          <w:p>
            <w:r>
              <w:rPr>
                <w:sz w:val="17"/>
              </w:rPr>
              <w:t>The control fails, but a current, approved exception applies.</w:t>
            </w:r>
          </w:p>
        </w:tc>
      </w:tr>
      <w:tr>
        <w:tc>
          <w:tcPr>
            <w:tcW w:type="dxa" w:w="2592"/>
            <w:vAlign w:val="top"/>
            <w:tcMar>
              <w:top w:w="80" w:type="dxa"/>
              <w:start w:w="80" w:type="dxa"/>
              <w:bottom w:w="80" w:type="dxa"/>
              <w:end w:w="80" w:type="dxa"/>
            </w:tcMar>
          </w:tcPr>
          <w:p>
            <w:r>
              <w:rPr>
                <w:sz w:val="17"/>
              </w:rPr>
              <w:t>Unknown</w:t>
            </w:r>
          </w:p>
        </w:tc>
        <w:tc>
          <w:tcPr>
            <w:tcW w:type="dxa" w:w="8928"/>
            <w:vAlign w:val="top"/>
            <w:tcMar>
              <w:top w:w="80" w:type="dxa"/>
              <w:start w:w="80" w:type="dxa"/>
              <w:bottom w:w="80" w:type="dxa"/>
              <w:end w:w="80" w:type="dxa"/>
            </w:tcMar>
          </w:tcPr>
          <w:p>
            <w:r>
              <w:rPr>
                <w:sz w:val="17"/>
              </w:rPr>
              <w:t>Required data is absent, stale, invalid, or cannot be correlated.</w:t>
            </w:r>
          </w:p>
        </w:tc>
      </w:tr>
      <w:tr>
        <w:tc>
          <w:tcPr>
            <w:tcW w:type="dxa" w:w="2592"/>
            <w:vAlign w:val="top"/>
            <w:tcMar>
              <w:top w:w="80" w:type="dxa"/>
              <w:start w:w="80" w:type="dxa"/>
              <w:bottom w:w="80" w:type="dxa"/>
              <w:end w:w="80" w:type="dxa"/>
            </w:tcMar>
          </w:tcPr>
          <w:p>
            <w:r>
              <w:rPr>
                <w:sz w:val="17"/>
              </w:rPr>
              <w:t>Not Applicable</w:t>
            </w:r>
          </w:p>
        </w:tc>
        <w:tc>
          <w:tcPr>
            <w:tcW w:type="dxa" w:w="8928"/>
            <w:vAlign w:val="top"/>
            <w:tcMar>
              <w:top w:w="80" w:type="dxa"/>
              <w:start w:w="80" w:type="dxa"/>
              <w:bottom w:w="80" w:type="dxa"/>
              <w:end w:w="80" w:type="dxa"/>
            </w:tcMar>
          </w:tcPr>
          <w:p>
            <w:r>
              <w:rPr>
                <w:sz w:val="17"/>
              </w:rPr>
              <w:t>The control does not apply to the platform, device class, or business context.</w:t>
            </w:r>
          </w:p>
        </w:tc>
      </w:tr>
      <w:tr>
        <w:tc>
          <w:tcPr>
            <w:tcW w:type="dxa" w:w="2592"/>
            <w:vAlign w:val="top"/>
            <w:tcMar>
              <w:top w:w="80" w:type="dxa"/>
              <w:start w:w="80" w:type="dxa"/>
              <w:bottom w:w="80" w:type="dxa"/>
              <w:end w:w="80" w:type="dxa"/>
            </w:tcMar>
          </w:tcPr>
          <w:p>
            <w:r>
              <w:rPr>
                <w:sz w:val="17"/>
              </w:rPr>
              <w:t>Not Evaluated</w:t>
            </w:r>
          </w:p>
        </w:tc>
        <w:tc>
          <w:tcPr>
            <w:tcW w:type="dxa" w:w="8928"/>
            <w:vAlign w:val="top"/>
            <w:tcMar>
              <w:top w:w="80" w:type="dxa"/>
              <w:start w:w="80" w:type="dxa"/>
              <w:bottom w:w="80" w:type="dxa"/>
              <w:end w:w="80" w:type="dxa"/>
            </w:tcMar>
          </w:tcPr>
          <w:p>
            <w:r>
              <w:rPr>
                <w:sz w:val="17"/>
              </w:rPr>
              <w:t>The record has not yet been processed for the reporting period.</w:t>
            </w:r>
          </w:p>
        </w:tc>
      </w:tr>
    </w:tbl>
    <w:p>
      <w:pPr>
        <w:keepLines w:val="0"/>
      </w:pPr>
    </w:p>
    <w:tbl>
      <w:tblPr>
        <w:tblW w:type="auto" w:w="0"/>
        <w:jc w:val="center"/>
        <w:tblLook w:firstColumn="1" w:firstRow="1" w:lastColumn="0" w:lastRow="0" w:noHBand="0" w:noVBand="1" w:val="04A0"/>
      </w:tblPr>
      <w:tblGrid>
        <w:gridCol w:w="10080"/>
      </w:tblGrid>
      <w:tr>
        <w:tc>
          <w:tcPr>
            <w:tcW w:type="dxa" w:w="10080"/>
            <w:shd w:fill="EAF2F8"/>
            <w:tcMar>
              <w:top w:w="120" w:type="dxa"/>
              <w:start w:w="140" w:type="dxa"/>
              <w:bottom w:w="120" w:type="dxa"/>
              <w:end w:w="140" w:type="dxa"/>
            </w:tcMar>
          </w:tcPr>
          <w:p>
            <w:r>
              <w:rPr>
                <w:b/>
                <w:color w:val="1F4E78"/>
              </w:rPr>
              <w:t>Important reporting rule</w:t>
              <w:br/>
            </w:r>
            <w:r>
              <w:t>Unknown and stale data must not be counted as compliant. Reports should show both compliance percentage and evaluation coverage percentage.</w:t>
            </w:r>
          </w:p>
        </w:tc>
      </w:tr>
    </w:tbl>
    <w:p>
      <w:pPr>
        <w:keepLines w:val="0"/>
      </w:pPr>
    </w:p>
    <w:p>
      <w:pPr>
        <w:pStyle w:val="Heading1"/>
        <w:keepLines w:val="0"/>
      </w:pPr>
      <w:r>
        <w:t>6. Device Identity and Data Correlation</w:t>
      </w:r>
    </w:p>
    <w:p>
      <w:pPr>
        <w:keepLines w:val="0"/>
      </w:pPr>
      <w:r>
        <w:t>A single endpoint may have different identifiers in Intune, JAMF, CrowdStrike, Tanium, Tenable, Entra ID, and ServiceNow. A dedicated identity bridge is therefore required to create a canonical device record and preserve source-specific identifiers.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shd w:fill="1F4E78"/>
            <w:vAlign w:val="center"/>
            <w:tcMar>
              <w:top w:w="80" w:type="dxa"/>
              <w:start w:w="80" w:type="dxa"/>
              <w:bottom w:w="80" w:type="dxa"/>
              <w:end w:w="80" w:type="dxa"/>
            </w:tcMar>
          </w:tcPr>
          <w:p>
            <w:pPr>
              <w:jc w:val="center"/>
            </w:pPr>
            <w:r>
              <w:rPr>
                <w:b/>
                <w:color w:val="FFFFFF"/>
                <w:sz w:val="18"/>
              </w:rPr>
              <w:t>Field</w:t>
            </w:r>
          </w:p>
        </w:tc>
        <w:tc>
          <w:tcPr>
            <w:tcW w:type="dxa" w:w="8496"/>
            <w:shd w:fill="1F4E78"/>
            <w:vAlign w:val="center"/>
            <w:tcMar>
              <w:top w:w="80" w:type="dxa"/>
              <w:start w:w="80" w:type="dxa"/>
              <w:bottom w:w="80" w:type="dxa"/>
              <w:end w:w="80" w:type="dxa"/>
            </w:tcMar>
          </w:tcPr>
          <w:p>
            <w:pPr>
              <w:jc w:val="center"/>
            </w:pPr>
            <w:r>
              <w:rPr>
                <w:b/>
                <w:color w:val="FFFFFF"/>
                <w:sz w:val="18"/>
              </w:rPr>
              <w:t>Purpose</w:t>
            </w:r>
          </w:p>
        </w:tc>
      </w:tr>
      <w:tr>
        <w:tc>
          <w:tcPr>
            <w:tcW w:type="dxa" w:w="2880"/>
            <w:vAlign w:val="top"/>
            <w:tcMar>
              <w:top w:w="80" w:type="dxa"/>
              <w:start w:w="80" w:type="dxa"/>
              <w:bottom w:w="80" w:type="dxa"/>
              <w:end w:w="80" w:type="dxa"/>
            </w:tcMar>
          </w:tcPr>
          <w:p>
            <w:r>
              <w:rPr>
                <w:sz w:val="17"/>
              </w:rPr>
              <w:t>CanonicalDeviceID</w:t>
            </w:r>
          </w:p>
        </w:tc>
        <w:tc>
          <w:tcPr>
            <w:tcW w:type="dxa" w:w="8496"/>
            <w:vAlign w:val="top"/>
            <w:tcMar>
              <w:top w:w="80" w:type="dxa"/>
              <w:start w:w="80" w:type="dxa"/>
              <w:bottom w:w="80" w:type="dxa"/>
              <w:end w:w="80" w:type="dxa"/>
            </w:tcMar>
          </w:tcPr>
          <w:p>
            <w:r>
              <w:rPr>
                <w:sz w:val="17"/>
              </w:rPr>
              <w:t>Stable reporting identifier used throughout the curated model.</w:t>
            </w:r>
          </w:p>
        </w:tc>
      </w:tr>
      <w:tr>
        <w:tc>
          <w:tcPr>
            <w:tcW w:type="dxa" w:w="2880"/>
            <w:vAlign w:val="top"/>
            <w:tcMar>
              <w:top w:w="80" w:type="dxa"/>
              <w:start w:w="80" w:type="dxa"/>
              <w:bottom w:w="80" w:type="dxa"/>
              <w:end w:w="80" w:type="dxa"/>
            </w:tcMar>
          </w:tcPr>
          <w:p>
            <w:r>
              <w:rPr>
                <w:sz w:val="17"/>
              </w:rPr>
              <w:t>SourceSystem</w:t>
            </w:r>
          </w:p>
        </w:tc>
        <w:tc>
          <w:tcPr>
            <w:tcW w:type="dxa" w:w="8496"/>
            <w:vAlign w:val="top"/>
            <w:tcMar>
              <w:top w:w="80" w:type="dxa"/>
              <w:start w:w="80" w:type="dxa"/>
              <w:bottom w:w="80" w:type="dxa"/>
              <w:end w:w="80" w:type="dxa"/>
            </w:tcMar>
          </w:tcPr>
          <w:p>
            <w:r>
              <w:rPr>
                <w:sz w:val="17"/>
              </w:rPr>
              <w:t>System that supplied the identifier.</w:t>
            </w:r>
          </w:p>
        </w:tc>
      </w:tr>
      <w:tr>
        <w:tc>
          <w:tcPr>
            <w:tcW w:type="dxa" w:w="2880"/>
            <w:vAlign w:val="top"/>
            <w:tcMar>
              <w:top w:w="80" w:type="dxa"/>
              <w:start w:w="80" w:type="dxa"/>
              <w:bottom w:w="80" w:type="dxa"/>
              <w:end w:w="80" w:type="dxa"/>
            </w:tcMar>
          </w:tcPr>
          <w:p>
            <w:r>
              <w:rPr>
                <w:sz w:val="17"/>
              </w:rPr>
              <w:t>SourceDeviceID</w:t>
            </w:r>
          </w:p>
        </w:tc>
        <w:tc>
          <w:tcPr>
            <w:tcW w:type="dxa" w:w="8496"/>
            <w:vAlign w:val="top"/>
            <w:tcMar>
              <w:top w:w="80" w:type="dxa"/>
              <w:start w:w="80" w:type="dxa"/>
              <w:bottom w:w="80" w:type="dxa"/>
              <w:end w:w="80" w:type="dxa"/>
            </w:tcMar>
          </w:tcPr>
          <w:p>
            <w:r>
              <w:rPr>
                <w:sz w:val="17"/>
              </w:rPr>
              <w:t>Native identifier from the source system.</w:t>
            </w:r>
          </w:p>
        </w:tc>
      </w:tr>
      <w:tr>
        <w:tc>
          <w:tcPr>
            <w:tcW w:type="dxa" w:w="2880"/>
            <w:vAlign w:val="top"/>
            <w:tcMar>
              <w:top w:w="80" w:type="dxa"/>
              <w:start w:w="80" w:type="dxa"/>
              <w:bottom w:w="80" w:type="dxa"/>
              <w:end w:w="80" w:type="dxa"/>
            </w:tcMar>
          </w:tcPr>
          <w:p>
            <w:r>
              <w:rPr>
                <w:sz w:val="17"/>
              </w:rPr>
              <w:t>SerialNumber</w:t>
            </w:r>
          </w:p>
        </w:tc>
        <w:tc>
          <w:tcPr>
            <w:tcW w:type="dxa" w:w="8496"/>
            <w:vAlign w:val="top"/>
            <w:tcMar>
              <w:top w:w="80" w:type="dxa"/>
              <w:start w:w="80" w:type="dxa"/>
              <w:bottom w:w="80" w:type="dxa"/>
              <w:end w:w="80" w:type="dxa"/>
            </w:tcMar>
          </w:tcPr>
          <w:p>
            <w:r>
              <w:rPr>
                <w:sz w:val="17"/>
              </w:rPr>
              <w:t>Preferred hardware correlation attribute.</w:t>
            </w:r>
          </w:p>
        </w:tc>
      </w:tr>
      <w:tr>
        <w:tc>
          <w:tcPr>
            <w:tcW w:type="dxa" w:w="2880"/>
            <w:vAlign w:val="top"/>
            <w:tcMar>
              <w:top w:w="80" w:type="dxa"/>
              <w:start w:w="80" w:type="dxa"/>
              <w:bottom w:w="80" w:type="dxa"/>
              <w:end w:w="80" w:type="dxa"/>
            </w:tcMar>
          </w:tcPr>
          <w:p>
            <w:r>
              <w:rPr>
                <w:sz w:val="17"/>
              </w:rPr>
              <w:t>HardwareUUID</w:t>
            </w:r>
          </w:p>
        </w:tc>
        <w:tc>
          <w:tcPr>
            <w:tcW w:type="dxa" w:w="8496"/>
            <w:vAlign w:val="top"/>
            <w:tcMar>
              <w:top w:w="80" w:type="dxa"/>
              <w:start w:w="80" w:type="dxa"/>
              <w:bottom w:w="80" w:type="dxa"/>
              <w:end w:w="80" w:type="dxa"/>
            </w:tcMar>
          </w:tcPr>
          <w:p>
            <w:r>
              <w:rPr>
                <w:sz w:val="17"/>
              </w:rPr>
              <w:t>Strong platform-level matching attribute where available.</w:t>
            </w:r>
          </w:p>
        </w:tc>
      </w:tr>
      <w:tr>
        <w:tc>
          <w:tcPr>
            <w:tcW w:type="dxa" w:w="2880"/>
            <w:vAlign w:val="top"/>
            <w:tcMar>
              <w:top w:w="80" w:type="dxa"/>
              <w:start w:w="80" w:type="dxa"/>
              <w:bottom w:w="80" w:type="dxa"/>
              <w:end w:w="80" w:type="dxa"/>
            </w:tcMar>
          </w:tcPr>
          <w:p>
            <w:r>
              <w:rPr>
                <w:sz w:val="17"/>
              </w:rPr>
              <w:t>Hostname</w:t>
            </w:r>
          </w:p>
        </w:tc>
        <w:tc>
          <w:tcPr>
            <w:tcW w:type="dxa" w:w="8496"/>
            <w:vAlign w:val="top"/>
            <w:tcMar>
              <w:top w:w="80" w:type="dxa"/>
              <w:start w:w="80" w:type="dxa"/>
              <w:bottom w:w="80" w:type="dxa"/>
              <w:end w:w="80" w:type="dxa"/>
            </w:tcMar>
          </w:tcPr>
          <w:p>
            <w:r>
              <w:rPr>
                <w:sz w:val="17"/>
              </w:rPr>
              <w:t>Useful but not independently reliable because hostnames can change or be reused.</w:t>
            </w:r>
          </w:p>
        </w:tc>
      </w:tr>
      <w:tr>
        <w:tc>
          <w:tcPr>
            <w:tcW w:type="dxa" w:w="2880"/>
            <w:vAlign w:val="top"/>
            <w:tcMar>
              <w:top w:w="80" w:type="dxa"/>
              <w:start w:w="80" w:type="dxa"/>
              <w:bottom w:w="80" w:type="dxa"/>
              <w:end w:w="80" w:type="dxa"/>
            </w:tcMar>
          </w:tcPr>
          <w:p>
            <w:r>
              <w:rPr>
                <w:sz w:val="17"/>
              </w:rPr>
              <w:t>PrimaryUser</w:t>
            </w:r>
          </w:p>
        </w:tc>
        <w:tc>
          <w:tcPr>
            <w:tcW w:type="dxa" w:w="8496"/>
            <w:vAlign w:val="top"/>
            <w:tcMar>
              <w:top w:w="80" w:type="dxa"/>
              <w:start w:w="80" w:type="dxa"/>
              <w:bottom w:w="80" w:type="dxa"/>
              <w:end w:w="80" w:type="dxa"/>
            </w:tcMar>
          </w:tcPr>
          <w:p>
            <w:r>
              <w:rPr>
                <w:sz w:val="17"/>
              </w:rPr>
              <w:t>Supporting correlation and organizational enrichment attribute.</w:t>
            </w:r>
          </w:p>
        </w:tc>
      </w:tr>
      <w:tr>
        <w:tc>
          <w:tcPr>
            <w:tcW w:type="dxa" w:w="2880"/>
            <w:vAlign w:val="top"/>
            <w:tcMar>
              <w:top w:w="80" w:type="dxa"/>
              <w:start w:w="80" w:type="dxa"/>
              <w:bottom w:w="80" w:type="dxa"/>
              <w:end w:w="80" w:type="dxa"/>
            </w:tcMar>
          </w:tcPr>
          <w:p>
            <w:r>
              <w:rPr>
                <w:sz w:val="17"/>
              </w:rPr>
              <w:t>MatchMethod</w:t>
            </w:r>
          </w:p>
        </w:tc>
        <w:tc>
          <w:tcPr>
            <w:tcW w:type="dxa" w:w="8496"/>
            <w:vAlign w:val="top"/>
            <w:tcMar>
              <w:top w:w="80" w:type="dxa"/>
              <w:start w:w="80" w:type="dxa"/>
              <w:bottom w:w="80" w:type="dxa"/>
              <w:end w:w="80" w:type="dxa"/>
            </w:tcMar>
          </w:tcPr>
          <w:p>
            <w:r>
              <w:rPr>
                <w:sz w:val="17"/>
              </w:rPr>
              <w:t>Rule used to create the match.</w:t>
            </w:r>
          </w:p>
        </w:tc>
      </w:tr>
      <w:tr>
        <w:tc>
          <w:tcPr>
            <w:tcW w:type="dxa" w:w="2880"/>
            <w:vAlign w:val="top"/>
            <w:tcMar>
              <w:top w:w="80" w:type="dxa"/>
              <w:start w:w="80" w:type="dxa"/>
              <w:bottom w:w="80" w:type="dxa"/>
              <w:end w:w="80" w:type="dxa"/>
            </w:tcMar>
          </w:tcPr>
          <w:p>
            <w:r>
              <w:rPr>
                <w:sz w:val="17"/>
              </w:rPr>
              <w:t>MatchConfidence</w:t>
            </w:r>
          </w:p>
        </w:tc>
        <w:tc>
          <w:tcPr>
            <w:tcW w:type="dxa" w:w="8496"/>
            <w:vAlign w:val="top"/>
            <w:tcMar>
              <w:top w:w="80" w:type="dxa"/>
              <w:start w:w="80" w:type="dxa"/>
              <w:bottom w:w="80" w:type="dxa"/>
              <w:end w:w="80" w:type="dxa"/>
            </w:tcMar>
          </w:tcPr>
          <w:p>
            <w:r>
              <w:rPr>
                <w:sz w:val="17"/>
              </w:rPr>
              <w:t>High, medium, or low confidence score.</w:t>
            </w:r>
          </w:p>
        </w:tc>
      </w:tr>
      <w:tr>
        <w:tc>
          <w:tcPr>
            <w:tcW w:type="dxa" w:w="2880"/>
            <w:vAlign w:val="top"/>
            <w:tcMar>
              <w:top w:w="80" w:type="dxa"/>
              <w:start w:w="80" w:type="dxa"/>
              <w:bottom w:w="80" w:type="dxa"/>
              <w:end w:w="80" w:type="dxa"/>
            </w:tcMar>
          </w:tcPr>
          <w:p>
            <w:r>
              <w:rPr>
                <w:sz w:val="17"/>
              </w:rPr>
              <w:t>EffectiveFrom / EffectiveTo</w:t>
            </w:r>
          </w:p>
        </w:tc>
        <w:tc>
          <w:tcPr>
            <w:tcW w:type="dxa" w:w="8496"/>
            <w:vAlign w:val="top"/>
            <w:tcMar>
              <w:top w:w="80" w:type="dxa"/>
              <w:start w:w="80" w:type="dxa"/>
              <w:bottom w:w="80" w:type="dxa"/>
              <w:end w:w="80" w:type="dxa"/>
            </w:tcMar>
          </w:tcPr>
          <w:p>
            <w:r>
              <w:rPr>
                <w:sz w:val="17"/>
              </w:rPr>
              <w:t>History of identifier changes and device replacements.</w:t>
            </w:r>
          </w:p>
        </w:tc>
      </w:tr>
    </w:tbl>
    <w:p>
      <w:pPr>
        <w:keepLines w:val="0"/>
      </w:pPr>
    </w:p>
    <w:p>
      <w:pPr>
        <w:pStyle w:val="Heading2"/>
        <w:keepLines w:val="0"/>
      </w:pPr>
      <w:r>
        <w:t>6.1 Recommended Matching Precedence</w:t>
      </w:r>
    </w:p>
    <w:p>
      <w:pPr>
        <w:pStyle w:val="ListNumber"/>
        <w:keepLines w:val="0"/>
        <w:spacing w:after="60"/>
      </w:pPr>
      <w:r>
        <w:t>Exact serial number and platform compatibility.</w:t>
      </w:r>
    </w:p>
    <w:p>
      <w:pPr>
        <w:pStyle w:val="ListNumber"/>
        <w:keepLines w:val="0"/>
        <w:spacing w:after="60"/>
      </w:pPr>
      <w:r>
        <w:t>Exact hardware UUID or platform device UUID.</w:t>
      </w:r>
    </w:p>
    <w:p>
      <w:pPr>
        <w:pStyle w:val="ListNumber"/>
        <w:keepLines w:val="0"/>
        <w:spacing w:after="60"/>
      </w:pPr>
      <w:r>
        <w:t>Exact source-native device ID previously mapped to the canonical device.</w:t>
      </w:r>
    </w:p>
    <w:p>
      <w:pPr>
        <w:pStyle w:val="ListNumber"/>
        <w:keepLines w:val="0"/>
        <w:spacing w:after="60"/>
      </w:pPr>
      <w:r>
        <w:t>Exact Entra device ID or management-system ID.</w:t>
      </w:r>
    </w:p>
    <w:p>
      <w:pPr>
        <w:pStyle w:val="ListNumber"/>
        <w:keepLines w:val="0"/>
        <w:spacing w:after="60"/>
      </w:pPr>
      <w:r>
        <w:t>Exact ServiceNow asset tag plus serial number.</w:t>
      </w:r>
    </w:p>
    <w:p>
      <w:pPr>
        <w:pStyle w:val="ListNumber"/>
        <w:keepLines w:val="0"/>
        <w:spacing w:after="60"/>
      </w:pPr>
      <w:r>
        <w:t>Hostname plus primary user plus platform.</w:t>
      </w:r>
    </w:p>
    <w:p>
      <w:pPr>
        <w:pStyle w:val="ListNumber"/>
        <w:keepLines w:val="0"/>
        <w:spacing w:after="60"/>
      </w:pPr>
      <w:r>
        <w:t>Hostname-only match, flagged for review and assigned low confidence.</w:t>
      </w:r>
    </w:p>
    <w:p>
      <w:pPr>
        <w:pStyle w:val="ListBullet"/>
        <w:keepLines w:val="0"/>
        <w:spacing w:after="40"/>
      </w:pPr>
      <w:r>
        <w:t>Preserve unresolved records instead of dropping them.</w:t>
      </w:r>
    </w:p>
    <w:p>
      <w:pPr>
        <w:pStyle w:val="ListBullet"/>
        <w:keepLines w:val="0"/>
        <w:spacing w:after="40"/>
      </w:pPr>
      <w:r>
        <w:t>Publish unmatched and low-confidence counts on the data quality dashboard.</w:t>
      </w:r>
    </w:p>
    <w:p>
      <w:pPr>
        <w:pStyle w:val="ListBullet"/>
        <w:keepLines w:val="0"/>
        <w:spacing w:after="40"/>
      </w:pPr>
      <w:r>
        <w:t>Allow manual stewardship overrides with owner, reason, and effective date.</w:t>
      </w:r>
    </w:p>
    <w:p>
      <w:pPr>
        <w:pStyle w:val="ListBullet"/>
        <w:keepLines w:val="0"/>
        <w:spacing w:after="40"/>
      </w:pPr>
      <w:r>
        <w:t>Detect one-to-many and many-to-one conflicts such as duplicated serial numbers or re-used hostnames.</w:t>
      </w:r>
    </w:p>
    <w:p>
      <w:pPr>
        <w:pStyle w:val="Heading1"/>
        <w:keepLines w:val="0"/>
      </w:pPr>
      <w:r>
        <w:t>7. Power BI Semantic and Presentation Architecture</w:t>
      </w:r>
    </w:p>
    <w:p>
      <w:pPr>
        <w:pStyle w:val="Heading2"/>
        <w:keepLines w:val="0"/>
      </w:pPr>
      <w:r>
        <w:t>7.1 Semantic Model</w:t>
      </w:r>
    </w:p>
    <w:p>
      <w:pPr>
        <w:pStyle w:val="ListBullet"/>
        <w:keepLines w:val="0"/>
        <w:spacing w:after="40"/>
      </w:pPr>
      <w:r>
        <w:t>Create one certified semantic model for the EUC audit-readiness domain.</w:t>
      </w:r>
    </w:p>
    <w:p>
      <w:pPr>
        <w:pStyle w:val="ListBullet"/>
        <w:keepLines w:val="0"/>
        <w:spacing w:after="40"/>
      </w:pPr>
      <w:r>
        <w:t>Use one-to-many, single-direction relationships from dimensions to facts.</w:t>
      </w:r>
    </w:p>
    <w:p>
      <w:pPr>
        <w:pStyle w:val="ListBullet"/>
        <w:keepLines w:val="0"/>
        <w:spacing w:after="40"/>
      </w:pPr>
      <w:r>
        <w:t>Keep complex data preparation and compliance evaluation outside Power BI where practical.</w:t>
      </w:r>
    </w:p>
    <w:p>
      <w:pPr>
        <w:pStyle w:val="ListBullet"/>
        <w:keepLines w:val="0"/>
        <w:spacing w:after="40"/>
      </w:pPr>
      <w:r>
        <w:t>Create a dedicated measures table for shared calculations.</w:t>
      </w:r>
    </w:p>
    <w:p>
      <w:pPr>
        <w:pStyle w:val="ListBullet"/>
        <w:keepLines w:val="0"/>
        <w:spacing w:after="40"/>
      </w:pPr>
      <w:r>
        <w:t>Mark the date dimension as the official date table and use date keys consistently.</w:t>
      </w:r>
    </w:p>
    <w:p>
      <w:pPr>
        <w:pStyle w:val="ListBullet"/>
        <w:keepLines w:val="0"/>
        <w:spacing w:after="40"/>
      </w:pPr>
      <w:r>
        <w:t>Use calculation groups or reusable measure patterns for current snapshot, trend, prior period, and target comparisons where supported.</w:t>
      </w:r>
    </w:p>
    <w:p>
      <w:pPr>
        <w:pStyle w:val="ListBullet"/>
        <w:keepLines w:val="0"/>
        <w:spacing w:after="40"/>
      </w:pPr>
      <w:r>
        <w:t>Hide technical identifiers and intermediate columns from report consumers.</w:t>
      </w:r>
    </w:p>
    <w:p>
      <w:pPr>
        <w:pStyle w:val="ListBullet"/>
        <w:keepLines w:val="0"/>
        <w:spacing w:after="40"/>
      </w:pPr>
      <w:r>
        <w:t>Document each business measure, source, owner, and calculation rule.</w:t>
      </w:r>
    </w:p>
    <w:p>
      <w:pPr>
        <w:pStyle w:val="Heading2"/>
        <w:keepLines w:val="0"/>
      </w:pPr>
      <w:r>
        <w:t>7.2 Dashboard Portfolio</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880"/>
            <w:shd w:fill="1F4E78"/>
            <w:vAlign w:val="center"/>
            <w:tcMar>
              <w:top w:w="80" w:type="dxa"/>
              <w:start w:w="80" w:type="dxa"/>
              <w:bottom w:w="80" w:type="dxa"/>
              <w:end w:w="80" w:type="dxa"/>
            </w:tcMar>
          </w:tcPr>
          <w:p>
            <w:pPr>
              <w:jc w:val="center"/>
            </w:pPr>
            <w:r>
              <w:rPr>
                <w:b/>
                <w:color w:val="FFFFFF"/>
                <w:sz w:val="18"/>
              </w:rPr>
              <w:t>Dashboard</w:t>
            </w:r>
          </w:p>
        </w:tc>
        <w:tc>
          <w:tcPr>
            <w:tcW w:type="dxa" w:w="3168"/>
            <w:shd w:fill="1F4E78"/>
            <w:vAlign w:val="center"/>
            <w:tcMar>
              <w:top w:w="80" w:type="dxa"/>
              <w:start w:w="80" w:type="dxa"/>
              <w:bottom w:w="80" w:type="dxa"/>
              <w:end w:w="80" w:type="dxa"/>
            </w:tcMar>
          </w:tcPr>
          <w:p>
            <w:pPr>
              <w:jc w:val="center"/>
            </w:pPr>
            <w:r>
              <w:rPr>
                <w:b/>
                <w:color w:val="FFFFFF"/>
                <w:sz w:val="18"/>
              </w:rPr>
              <w:t>Primary Audience</w:t>
            </w:r>
          </w:p>
        </w:tc>
        <w:tc>
          <w:tcPr>
            <w:tcW w:type="dxa" w:w="5472"/>
            <w:shd w:fill="1F4E78"/>
            <w:vAlign w:val="center"/>
            <w:tcMar>
              <w:top w:w="80" w:type="dxa"/>
              <w:start w:w="80" w:type="dxa"/>
              <w:bottom w:w="80" w:type="dxa"/>
              <w:end w:w="80" w:type="dxa"/>
            </w:tcMar>
          </w:tcPr>
          <w:p>
            <w:pPr>
              <w:jc w:val="center"/>
            </w:pPr>
            <w:r>
              <w:rPr>
                <w:b/>
                <w:color w:val="FFFFFF"/>
                <w:sz w:val="18"/>
              </w:rPr>
              <w:t>Purpose</w:t>
            </w:r>
          </w:p>
        </w:tc>
      </w:tr>
      <w:tr>
        <w:tc>
          <w:tcPr>
            <w:tcW w:type="dxa" w:w="2880"/>
            <w:vAlign w:val="top"/>
            <w:tcMar>
              <w:top w:w="80" w:type="dxa"/>
              <w:start w:w="80" w:type="dxa"/>
              <w:bottom w:w="80" w:type="dxa"/>
              <w:end w:w="80" w:type="dxa"/>
            </w:tcMar>
          </w:tcPr>
          <w:p>
            <w:r>
              <w:rPr>
                <w:sz w:val="17"/>
              </w:rPr>
              <w:t>Executive Audit Readiness</w:t>
            </w:r>
          </w:p>
        </w:tc>
        <w:tc>
          <w:tcPr>
            <w:tcW w:type="dxa" w:w="3168"/>
            <w:vAlign w:val="top"/>
            <w:tcMar>
              <w:top w:w="80" w:type="dxa"/>
              <w:start w:w="80" w:type="dxa"/>
              <w:bottom w:w="80" w:type="dxa"/>
              <w:end w:w="80" w:type="dxa"/>
            </w:tcMar>
          </w:tcPr>
          <w:p>
            <w:r>
              <w:rPr>
                <w:sz w:val="17"/>
              </w:rPr>
              <w:t>EUC leadership, risk, audit</w:t>
            </w:r>
          </w:p>
        </w:tc>
        <w:tc>
          <w:tcPr>
            <w:tcW w:type="dxa" w:w="5472"/>
            <w:vAlign w:val="top"/>
            <w:tcMar>
              <w:top w:w="80" w:type="dxa"/>
              <w:start w:w="80" w:type="dxa"/>
              <w:bottom w:w="80" w:type="dxa"/>
              <w:end w:w="80" w:type="dxa"/>
            </w:tcMar>
          </w:tcPr>
          <w:p>
            <w:r>
              <w:rPr>
                <w:sz w:val="17"/>
              </w:rPr>
              <w:t>Cross-domain posture, trends, high-risk failures, exceptions, evidence status.</w:t>
            </w:r>
          </w:p>
        </w:tc>
      </w:tr>
      <w:tr>
        <w:tc>
          <w:tcPr>
            <w:tcW w:type="dxa" w:w="2880"/>
            <w:vAlign w:val="top"/>
            <w:tcMar>
              <w:top w:w="80" w:type="dxa"/>
              <w:start w:w="80" w:type="dxa"/>
              <w:bottom w:w="80" w:type="dxa"/>
              <w:end w:w="80" w:type="dxa"/>
            </w:tcMar>
          </w:tcPr>
          <w:p>
            <w:r>
              <w:rPr>
                <w:sz w:val="17"/>
              </w:rPr>
              <w:t>Device and Configuration</w:t>
            </w:r>
          </w:p>
        </w:tc>
        <w:tc>
          <w:tcPr>
            <w:tcW w:type="dxa" w:w="3168"/>
            <w:vAlign w:val="top"/>
            <w:tcMar>
              <w:top w:w="80" w:type="dxa"/>
              <w:start w:w="80" w:type="dxa"/>
              <w:bottom w:w="80" w:type="dxa"/>
              <w:end w:w="80" w:type="dxa"/>
            </w:tcMar>
          </w:tcPr>
          <w:p>
            <w:r>
              <w:rPr>
                <w:sz w:val="17"/>
              </w:rPr>
              <w:t>Engineering and platform owners</w:t>
            </w:r>
          </w:p>
        </w:tc>
        <w:tc>
          <w:tcPr>
            <w:tcW w:type="dxa" w:w="5472"/>
            <w:vAlign w:val="top"/>
            <w:tcMar>
              <w:top w:w="80" w:type="dxa"/>
              <w:start w:w="80" w:type="dxa"/>
              <w:bottom w:w="80" w:type="dxa"/>
              <w:end w:w="80" w:type="dxa"/>
            </w:tcMar>
          </w:tcPr>
          <w:p>
            <w:r>
              <w:rPr>
                <w:sz w:val="17"/>
              </w:rPr>
              <w:t>Baseline, antivirus, firewall, agent coverage, passwordless, drift.</w:t>
            </w:r>
          </w:p>
        </w:tc>
      </w:tr>
      <w:tr>
        <w:tc>
          <w:tcPr>
            <w:tcW w:type="dxa" w:w="2880"/>
            <w:vAlign w:val="top"/>
            <w:tcMar>
              <w:top w:w="80" w:type="dxa"/>
              <w:start w:w="80" w:type="dxa"/>
              <w:bottom w:w="80" w:type="dxa"/>
              <w:end w:w="80" w:type="dxa"/>
            </w:tcMar>
          </w:tcPr>
          <w:p>
            <w:r>
              <w:rPr>
                <w:sz w:val="17"/>
              </w:rPr>
              <w:t>Encryption and Data Protection</w:t>
            </w:r>
          </w:p>
        </w:tc>
        <w:tc>
          <w:tcPr>
            <w:tcW w:type="dxa" w:w="3168"/>
            <w:vAlign w:val="top"/>
            <w:tcMar>
              <w:top w:w="80" w:type="dxa"/>
              <w:start w:w="80" w:type="dxa"/>
              <w:bottom w:w="80" w:type="dxa"/>
              <w:end w:w="80" w:type="dxa"/>
            </w:tcMar>
          </w:tcPr>
          <w:p>
            <w:r>
              <w:rPr>
                <w:sz w:val="17"/>
              </w:rPr>
              <w:t>Security and endpoint teams</w:t>
            </w:r>
          </w:p>
        </w:tc>
        <w:tc>
          <w:tcPr>
            <w:tcW w:type="dxa" w:w="5472"/>
            <w:vAlign w:val="top"/>
            <w:tcMar>
              <w:top w:w="80" w:type="dxa"/>
              <w:start w:w="80" w:type="dxa"/>
              <w:bottom w:w="80" w:type="dxa"/>
              <w:end w:w="80" w:type="dxa"/>
            </w:tcMar>
          </w:tcPr>
          <w:p>
            <w:r>
              <w:rPr>
                <w:sz w:val="17"/>
              </w:rPr>
              <w:t>BitLocker/FileVault, escrow, portable media, exception monitoring.</w:t>
            </w:r>
          </w:p>
        </w:tc>
      </w:tr>
      <w:tr>
        <w:tc>
          <w:tcPr>
            <w:tcW w:type="dxa" w:w="2880"/>
            <w:vAlign w:val="top"/>
            <w:tcMar>
              <w:top w:w="80" w:type="dxa"/>
              <w:start w:w="80" w:type="dxa"/>
              <w:bottom w:w="80" w:type="dxa"/>
              <w:end w:w="80" w:type="dxa"/>
            </w:tcMar>
          </w:tcPr>
          <w:p>
            <w:r>
              <w:rPr>
                <w:sz w:val="17"/>
              </w:rPr>
              <w:t>Vulnerability and Patch</w:t>
            </w:r>
          </w:p>
        </w:tc>
        <w:tc>
          <w:tcPr>
            <w:tcW w:type="dxa" w:w="3168"/>
            <w:vAlign w:val="top"/>
            <w:tcMar>
              <w:top w:w="80" w:type="dxa"/>
              <w:start w:w="80" w:type="dxa"/>
              <w:bottom w:w="80" w:type="dxa"/>
              <w:end w:w="80" w:type="dxa"/>
            </w:tcMar>
          </w:tcPr>
          <w:p>
            <w:r>
              <w:rPr>
                <w:sz w:val="17"/>
              </w:rPr>
              <w:t>Vulnerability, patch, and platform teams</w:t>
            </w:r>
          </w:p>
        </w:tc>
        <w:tc>
          <w:tcPr>
            <w:tcW w:type="dxa" w:w="5472"/>
            <w:vAlign w:val="top"/>
            <w:tcMar>
              <w:top w:w="80" w:type="dxa"/>
              <w:start w:w="80" w:type="dxa"/>
              <w:bottom w:w="80" w:type="dxa"/>
              <w:end w:w="80" w:type="dxa"/>
            </w:tcMar>
          </w:tcPr>
          <w:p>
            <w:r>
              <w:rPr>
                <w:sz w:val="17"/>
              </w:rPr>
              <w:t>Severity, SLA, patch posture, aging, undefined findings.</w:t>
            </w:r>
          </w:p>
        </w:tc>
      </w:tr>
      <w:tr>
        <w:tc>
          <w:tcPr>
            <w:tcW w:type="dxa" w:w="2880"/>
            <w:vAlign w:val="top"/>
            <w:tcMar>
              <w:top w:w="80" w:type="dxa"/>
              <w:start w:w="80" w:type="dxa"/>
              <w:bottom w:w="80" w:type="dxa"/>
              <w:end w:w="80" w:type="dxa"/>
            </w:tcMar>
          </w:tcPr>
          <w:p>
            <w:r>
              <w:rPr>
                <w:sz w:val="17"/>
              </w:rPr>
              <w:t>Asset and Device Lifecycle</w:t>
            </w:r>
          </w:p>
        </w:tc>
        <w:tc>
          <w:tcPr>
            <w:tcW w:type="dxa" w:w="3168"/>
            <w:vAlign w:val="top"/>
            <w:tcMar>
              <w:top w:w="80" w:type="dxa"/>
              <w:start w:w="80" w:type="dxa"/>
              <w:bottom w:w="80" w:type="dxa"/>
              <w:end w:w="80" w:type="dxa"/>
            </w:tcMar>
          </w:tcPr>
          <w:p>
            <w:r>
              <w:rPr>
                <w:sz w:val="17"/>
              </w:rPr>
              <w:t>Asset, service management, EUC operations</w:t>
            </w:r>
          </w:p>
        </w:tc>
        <w:tc>
          <w:tcPr>
            <w:tcW w:type="dxa" w:w="5472"/>
            <w:vAlign w:val="top"/>
            <w:tcMar>
              <w:top w:w="80" w:type="dxa"/>
              <w:start w:w="80" w:type="dxa"/>
              <w:bottom w:w="80" w:type="dxa"/>
              <w:end w:w="80" w:type="dxa"/>
            </w:tcMar>
          </w:tcPr>
          <w:p>
            <w:r>
              <w:rPr>
                <w:sz w:val="17"/>
              </w:rPr>
              <w:t>Population, lost/stolen, reconciliation, sanitization, disposal, EOL.</w:t>
            </w:r>
          </w:p>
        </w:tc>
      </w:tr>
      <w:tr>
        <w:tc>
          <w:tcPr>
            <w:tcW w:type="dxa" w:w="2880"/>
            <w:vAlign w:val="top"/>
            <w:tcMar>
              <w:top w:w="80" w:type="dxa"/>
              <w:start w:w="80" w:type="dxa"/>
              <w:bottom w:w="80" w:type="dxa"/>
              <w:end w:w="80" w:type="dxa"/>
            </w:tcMar>
          </w:tcPr>
          <w:p>
            <w:r>
              <w:rPr>
                <w:sz w:val="17"/>
              </w:rPr>
              <w:t>Software Lifecycle</w:t>
            </w:r>
          </w:p>
        </w:tc>
        <w:tc>
          <w:tcPr>
            <w:tcW w:type="dxa" w:w="3168"/>
            <w:vAlign w:val="top"/>
            <w:tcMar>
              <w:top w:w="80" w:type="dxa"/>
              <w:start w:w="80" w:type="dxa"/>
              <w:bottom w:w="80" w:type="dxa"/>
              <w:end w:w="80" w:type="dxa"/>
            </w:tcMar>
          </w:tcPr>
          <w:p>
            <w:r>
              <w:rPr>
                <w:sz w:val="17"/>
              </w:rPr>
              <w:t>Software governance, packaging, service management</w:t>
            </w:r>
          </w:p>
        </w:tc>
        <w:tc>
          <w:tcPr>
            <w:tcW w:type="dxa" w:w="5472"/>
            <w:vAlign w:val="top"/>
            <w:tcMar>
              <w:top w:w="80" w:type="dxa"/>
              <w:start w:w="80" w:type="dxa"/>
              <w:bottom w:w="80" w:type="dxa"/>
              <w:end w:w="80" w:type="dxa"/>
            </w:tcMar>
          </w:tcPr>
          <w:p>
            <w:r>
              <w:rPr>
                <w:sz w:val="17"/>
              </w:rPr>
              <w:t>Request-to-retirement flow, EOL/OOS, unsupported installations.</w:t>
            </w:r>
          </w:p>
        </w:tc>
      </w:tr>
      <w:tr>
        <w:tc>
          <w:tcPr>
            <w:tcW w:type="dxa" w:w="2880"/>
            <w:vAlign w:val="top"/>
            <w:tcMar>
              <w:top w:w="80" w:type="dxa"/>
              <w:start w:w="80" w:type="dxa"/>
              <w:bottom w:w="80" w:type="dxa"/>
              <w:end w:w="80" w:type="dxa"/>
            </w:tcMar>
          </w:tcPr>
          <w:p>
            <w:r>
              <w:rPr>
                <w:sz w:val="17"/>
              </w:rPr>
              <w:t>Exceptions and Remediation</w:t>
            </w:r>
          </w:p>
        </w:tc>
        <w:tc>
          <w:tcPr>
            <w:tcW w:type="dxa" w:w="3168"/>
            <w:vAlign w:val="top"/>
            <w:tcMar>
              <w:top w:w="80" w:type="dxa"/>
              <w:start w:w="80" w:type="dxa"/>
              <w:bottom w:w="80" w:type="dxa"/>
              <w:end w:w="80" w:type="dxa"/>
            </w:tcMar>
          </w:tcPr>
          <w:p>
            <w:r>
              <w:rPr>
                <w:sz w:val="17"/>
              </w:rPr>
              <w:t>Risk owners and control owners</w:t>
            </w:r>
          </w:p>
        </w:tc>
        <w:tc>
          <w:tcPr>
            <w:tcW w:type="dxa" w:w="5472"/>
            <w:vAlign w:val="top"/>
            <w:tcMar>
              <w:top w:w="80" w:type="dxa"/>
              <w:start w:w="80" w:type="dxa"/>
              <w:bottom w:w="80" w:type="dxa"/>
              <w:end w:w="80" w:type="dxa"/>
            </w:tcMar>
          </w:tcPr>
          <w:p>
            <w:r>
              <w:rPr>
                <w:sz w:val="17"/>
              </w:rPr>
              <w:t>Active, expiring, expired exceptions and overdue remediation.</w:t>
            </w:r>
          </w:p>
        </w:tc>
      </w:tr>
      <w:tr>
        <w:tc>
          <w:tcPr>
            <w:tcW w:type="dxa" w:w="2880"/>
            <w:vAlign w:val="top"/>
            <w:tcMar>
              <w:top w:w="80" w:type="dxa"/>
              <w:start w:w="80" w:type="dxa"/>
              <w:bottom w:w="80" w:type="dxa"/>
              <w:end w:w="80" w:type="dxa"/>
            </w:tcMar>
          </w:tcPr>
          <w:p>
            <w:r>
              <w:rPr>
                <w:sz w:val="17"/>
              </w:rPr>
              <w:t>Evidence and Annual Review</w:t>
            </w:r>
          </w:p>
        </w:tc>
        <w:tc>
          <w:tcPr>
            <w:tcW w:type="dxa" w:w="3168"/>
            <w:vAlign w:val="top"/>
            <w:tcMar>
              <w:top w:w="80" w:type="dxa"/>
              <w:start w:w="80" w:type="dxa"/>
              <w:bottom w:w="80" w:type="dxa"/>
              <w:end w:w="80" w:type="dxa"/>
            </w:tcMar>
          </w:tcPr>
          <w:p>
            <w:r>
              <w:rPr>
                <w:sz w:val="17"/>
              </w:rPr>
              <w:t>Document owners, audit coordination</w:t>
            </w:r>
          </w:p>
        </w:tc>
        <w:tc>
          <w:tcPr>
            <w:tcW w:type="dxa" w:w="5472"/>
            <w:vAlign w:val="top"/>
            <w:tcMar>
              <w:top w:w="80" w:type="dxa"/>
              <w:start w:w="80" w:type="dxa"/>
              <w:bottom w:w="80" w:type="dxa"/>
              <w:end w:w="80" w:type="dxa"/>
            </w:tcMar>
          </w:tcPr>
          <w:p>
            <w:r>
              <w:rPr>
                <w:sz w:val="17"/>
              </w:rPr>
              <w:t>Document currency, annual review, control coverage, evidence history.</w:t>
            </w:r>
          </w:p>
        </w:tc>
      </w:tr>
      <w:tr>
        <w:tc>
          <w:tcPr>
            <w:tcW w:type="dxa" w:w="2880"/>
            <w:vAlign w:val="top"/>
            <w:tcMar>
              <w:top w:w="80" w:type="dxa"/>
              <w:start w:w="80" w:type="dxa"/>
              <w:bottom w:w="80" w:type="dxa"/>
              <w:end w:w="80" w:type="dxa"/>
            </w:tcMar>
          </w:tcPr>
          <w:p>
            <w:r>
              <w:rPr>
                <w:sz w:val="17"/>
              </w:rPr>
              <w:t>Data Quality and Operations</w:t>
            </w:r>
          </w:p>
        </w:tc>
        <w:tc>
          <w:tcPr>
            <w:tcW w:type="dxa" w:w="3168"/>
            <w:vAlign w:val="top"/>
            <w:tcMar>
              <w:top w:w="80" w:type="dxa"/>
              <w:start w:w="80" w:type="dxa"/>
              <w:bottom w:w="80" w:type="dxa"/>
              <w:end w:w="80" w:type="dxa"/>
            </w:tcMar>
          </w:tcPr>
          <w:p>
            <w:r>
              <w:rPr>
                <w:sz w:val="17"/>
              </w:rPr>
              <w:t>Data owners and report support</w:t>
            </w:r>
          </w:p>
        </w:tc>
        <w:tc>
          <w:tcPr>
            <w:tcW w:type="dxa" w:w="5472"/>
            <w:vAlign w:val="top"/>
            <w:tcMar>
              <w:top w:w="80" w:type="dxa"/>
              <w:start w:w="80" w:type="dxa"/>
              <w:bottom w:w="80" w:type="dxa"/>
              <w:end w:w="80" w:type="dxa"/>
            </w:tcMar>
          </w:tcPr>
          <w:p>
            <w:r>
              <w:rPr>
                <w:sz w:val="17"/>
              </w:rPr>
              <w:t>Refresh, correlation, completeness, duplicate, freshness, pipeline status.</w:t>
            </w:r>
          </w:p>
        </w:tc>
      </w:tr>
    </w:tbl>
    <w:p>
      <w:pPr>
        <w:keepLines w:val="0"/>
      </w:pPr>
    </w:p>
    <w:p>
      <w:pPr>
        <w:pStyle w:val="Heading2"/>
        <w:keepLines w:val="0"/>
      </w:pPr>
      <w:r>
        <w:t>7.3 Evidence Output</w:t>
      </w:r>
    </w:p>
    <w:p>
      <w:pPr>
        <w:pStyle w:val="ListBullet"/>
        <w:keepLines w:val="0"/>
        <w:spacing w:after="40"/>
      </w:pPr>
      <w:r>
        <w:t>Use Power BI dashboards for interactive analysis and operational monitoring.</w:t>
      </w:r>
    </w:p>
    <w:p>
      <w:pPr>
        <w:pStyle w:val="ListBullet"/>
        <w:keepLines w:val="0"/>
        <w:spacing w:after="40"/>
      </w:pPr>
      <w:r>
        <w:t>Use paginated reports for formally formatted, repeatable audit evidence.</w:t>
      </w:r>
    </w:p>
    <w:p>
      <w:pPr>
        <w:pStyle w:val="ListBullet"/>
        <w:keepLines w:val="0"/>
        <w:spacing w:after="40"/>
      </w:pPr>
      <w:r>
        <w:t>Use CSV extracts for detailed endpoint-level evidence where auditors require raw populations.</w:t>
      </w:r>
    </w:p>
    <w:p>
      <w:pPr>
        <w:pStyle w:val="ListBullet"/>
        <w:keepLines w:val="0"/>
        <w:spacing w:after="40"/>
      </w:pPr>
      <w:r>
        <w:t>Retain report execution date, source snapshot date, filters, rule version, and preparer/approver metadata.</w:t>
      </w:r>
    </w:p>
    <w:p>
      <w:pPr>
        <w:pStyle w:val="ListBullet"/>
        <w:keepLines w:val="0"/>
        <w:spacing w:after="40"/>
      </w:pPr>
      <w:r>
        <w:t>Publish approved evidence packages to SharePoint using consistent naming, period, control, and retention metadata.</w:t>
      </w:r>
    </w:p>
    <w:p>
      <w:pPr>
        <w:pStyle w:val="Heading1"/>
        <w:keepLines w:val="0"/>
      </w:pPr>
      <w:r>
        <w:t>8. Security, Access, and Compliance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shd w:fill="1F4E78"/>
            <w:vAlign w:val="center"/>
            <w:tcMar>
              <w:top w:w="80" w:type="dxa"/>
              <w:start w:w="80" w:type="dxa"/>
              <w:bottom w:w="80" w:type="dxa"/>
              <w:end w:w="80" w:type="dxa"/>
            </w:tcMar>
          </w:tcPr>
          <w:p>
            <w:pPr>
              <w:jc w:val="center"/>
            </w:pPr>
            <w:r>
              <w:rPr>
                <w:b/>
                <w:color w:val="FFFFFF"/>
                <w:sz w:val="18"/>
              </w:rPr>
              <w:t>Control Area</w:t>
            </w:r>
          </w:p>
        </w:tc>
        <w:tc>
          <w:tcPr>
            <w:tcW w:type="dxa" w:w="8496"/>
            <w:shd w:fill="1F4E78"/>
            <w:vAlign w:val="center"/>
            <w:tcMar>
              <w:top w:w="80" w:type="dxa"/>
              <w:start w:w="80" w:type="dxa"/>
              <w:bottom w:w="80" w:type="dxa"/>
              <w:end w:w="80" w:type="dxa"/>
            </w:tcMar>
          </w:tcPr>
          <w:p>
            <w:pPr>
              <w:jc w:val="center"/>
            </w:pPr>
            <w:r>
              <w:rPr>
                <w:b/>
                <w:color w:val="FFFFFF"/>
                <w:sz w:val="18"/>
              </w:rPr>
              <w:t>Recommended Approach</w:t>
            </w:r>
          </w:p>
        </w:tc>
      </w:tr>
      <w:tr>
        <w:tc>
          <w:tcPr>
            <w:tcW w:type="dxa" w:w="2880"/>
            <w:vAlign w:val="top"/>
            <w:tcMar>
              <w:top w:w="80" w:type="dxa"/>
              <w:start w:w="80" w:type="dxa"/>
              <w:bottom w:w="80" w:type="dxa"/>
              <w:end w:w="80" w:type="dxa"/>
            </w:tcMar>
          </w:tcPr>
          <w:p>
            <w:r>
              <w:rPr>
                <w:sz w:val="17"/>
              </w:rPr>
              <w:t>Source access</w:t>
            </w:r>
          </w:p>
        </w:tc>
        <w:tc>
          <w:tcPr>
            <w:tcW w:type="dxa" w:w="8496"/>
            <w:vAlign w:val="top"/>
            <w:tcMar>
              <w:top w:w="80" w:type="dxa"/>
              <w:start w:w="80" w:type="dxa"/>
              <w:bottom w:w="80" w:type="dxa"/>
              <w:end w:w="80" w:type="dxa"/>
            </w:tcMar>
          </w:tcPr>
          <w:p>
            <w:r>
              <w:rPr>
                <w:sz w:val="17"/>
              </w:rPr>
              <w:t>Use managed identities or service principals with read-only, least-privilege permissions. Avoid personal credentials.</w:t>
            </w:r>
          </w:p>
        </w:tc>
      </w:tr>
      <w:tr>
        <w:tc>
          <w:tcPr>
            <w:tcW w:type="dxa" w:w="2880"/>
            <w:vAlign w:val="top"/>
            <w:tcMar>
              <w:top w:w="80" w:type="dxa"/>
              <w:start w:w="80" w:type="dxa"/>
              <w:bottom w:w="80" w:type="dxa"/>
              <w:end w:w="80" w:type="dxa"/>
            </w:tcMar>
          </w:tcPr>
          <w:p>
            <w:r>
              <w:rPr>
                <w:sz w:val="17"/>
              </w:rPr>
              <w:t>Secrets</w:t>
            </w:r>
          </w:p>
        </w:tc>
        <w:tc>
          <w:tcPr>
            <w:tcW w:type="dxa" w:w="8496"/>
            <w:vAlign w:val="top"/>
            <w:tcMar>
              <w:top w:w="80" w:type="dxa"/>
              <w:start w:w="80" w:type="dxa"/>
              <w:bottom w:w="80" w:type="dxa"/>
              <w:end w:w="80" w:type="dxa"/>
            </w:tcMar>
          </w:tcPr>
          <w:p>
            <w:r>
              <w:rPr>
                <w:sz w:val="17"/>
              </w:rPr>
              <w:t>Store secrets in an approved vault and rotate them according to enterprise policy.</w:t>
            </w:r>
          </w:p>
        </w:tc>
      </w:tr>
      <w:tr>
        <w:tc>
          <w:tcPr>
            <w:tcW w:type="dxa" w:w="2880"/>
            <w:vAlign w:val="top"/>
            <w:tcMar>
              <w:top w:w="80" w:type="dxa"/>
              <w:start w:w="80" w:type="dxa"/>
              <w:bottom w:w="80" w:type="dxa"/>
              <w:end w:w="80" w:type="dxa"/>
            </w:tcMar>
          </w:tcPr>
          <w:p>
            <w:r>
              <w:rPr>
                <w:sz w:val="17"/>
              </w:rPr>
              <w:t>Data classification</w:t>
            </w:r>
          </w:p>
        </w:tc>
        <w:tc>
          <w:tcPr>
            <w:tcW w:type="dxa" w:w="8496"/>
            <w:vAlign w:val="top"/>
            <w:tcMar>
              <w:top w:w="80" w:type="dxa"/>
              <w:start w:w="80" w:type="dxa"/>
              <w:bottom w:w="80" w:type="dxa"/>
              <w:end w:w="80" w:type="dxa"/>
            </w:tcMar>
          </w:tcPr>
          <w:p>
            <w:r>
              <w:rPr>
                <w:sz w:val="17"/>
              </w:rPr>
              <w:t>Classify device, user, vulnerability, and audit evidence data; restrict exports accordingly.</w:t>
            </w:r>
          </w:p>
        </w:tc>
      </w:tr>
      <w:tr>
        <w:tc>
          <w:tcPr>
            <w:tcW w:type="dxa" w:w="2880"/>
            <w:vAlign w:val="top"/>
            <w:tcMar>
              <w:top w:w="80" w:type="dxa"/>
              <w:start w:w="80" w:type="dxa"/>
              <w:bottom w:w="80" w:type="dxa"/>
              <w:end w:w="80" w:type="dxa"/>
            </w:tcMar>
          </w:tcPr>
          <w:p>
            <w:r>
              <w:rPr>
                <w:sz w:val="17"/>
              </w:rPr>
              <w:t>Power BI access</w:t>
            </w:r>
          </w:p>
        </w:tc>
        <w:tc>
          <w:tcPr>
            <w:tcW w:type="dxa" w:w="8496"/>
            <w:vAlign w:val="top"/>
            <w:tcMar>
              <w:top w:w="80" w:type="dxa"/>
              <w:start w:w="80" w:type="dxa"/>
              <w:bottom w:w="80" w:type="dxa"/>
              <w:end w:w="80" w:type="dxa"/>
            </w:tcMar>
          </w:tcPr>
          <w:p>
            <w:r>
              <w:rPr>
                <w:sz w:val="17"/>
              </w:rPr>
              <w:t>Use Entra groups for workspace, app, and dataset access. Separate developers, publishers, and consumers.</w:t>
            </w:r>
          </w:p>
        </w:tc>
      </w:tr>
      <w:tr>
        <w:tc>
          <w:tcPr>
            <w:tcW w:type="dxa" w:w="2880"/>
            <w:vAlign w:val="top"/>
            <w:tcMar>
              <w:top w:w="80" w:type="dxa"/>
              <w:start w:w="80" w:type="dxa"/>
              <w:bottom w:w="80" w:type="dxa"/>
              <w:end w:w="80" w:type="dxa"/>
            </w:tcMar>
          </w:tcPr>
          <w:p>
            <w:r>
              <w:rPr>
                <w:sz w:val="17"/>
              </w:rPr>
              <w:t>Row-level security</w:t>
            </w:r>
          </w:p>
        </w:tc>
        <w:tc>
          <w:tcPr>
            <w:tcW w:type="dxa" w:w="8496"/>
            <w:vAlign w:val="top"/>
            <w:tcMar>
              <w:top w:w="80" w:type="dxa"/>
              <w:start w:w="80" w:type="dxa"/>
              <w:bottom w:w="80" w:type="dxa"/>
              <w:end w:w="80" w:type="dxa"/>
            </w:tcMar>
          </w:tcPr>
          <w:p>
            <w:r>
              <w:rPr>
                <w:sz w:val="17"/>
              </w:rPr>
              <w:t>Apply business-unit, regional, or support-group filtering where broad endpoint visibility is not appropriate.</w:t>
            </w:r>
          </w:p>
        </w:tc>
      </w:tr>
      <w:tr>
        <w:tc>
          <w:tcPr>
            <w:tcW w:type="dxa" w:w="2880"/>
            <w:vAlign w:val="top"/>
            <w:tcMar>
              <w:top w:w="80" w:type="dxa"/>
              <w:start w:w="80" w:type="dxa"/>
              <w:bottom w:w="80" w:type="dxa"/>
              <w:end w:w="80" w:type="dxa"/>
            </w:tcMar>
          </w:tcPr>
          <w:p>
            <w:r>
              <w:rPr>
                <w:sz w:val="17"/>
              </w:rPr>
              <w:t>Export control</w:t>
            </w:r>
          </w:p>
        </w:tc>
        <w:tc>
          <w:tcPr>
            <w:tcW w:type="dxa" w:w="8496"/>
            <w:vAlign w:val="top"/>
            <w:tcMar>
              <w:top w:w="80" w:type="dxa"/>
              <w:start w:w="80" w:type="dxa"/>
              <w:bottom w:w="80" w:type="dxa"/>
              <w:end w:w="80" w:type="dxa"/>
            </w:tcMar>
          </w:tcPr>
          <w:p>
            <w:r>
              <w:rPr>
                <w:sz w:val="17"/>
              </w:rPr>
              <w:t>Limit or monitor export of device-level and vulnerability-level data. Apply sensitivity labels where available.</w:t>
            </w:r>
          </w:p>
        </w:tc>
      </w:tr>
      <w:tr>
        <w:tc>
          <w:tcPr>
            <w:tcW w:type="dxa" w:w="2880"/>
            <w:vAlign w:val="top"/>
            <w:tcMar>
              <w:top w:w="80" w:type="dxa"/>
              <w:start w:w="80" w:type="dxa"/>
              <w:bottom w:w="80" w:type="dxa"/>
              <w:end w:w="80" w:type="dxa"/>
            </w:tcMar>
          </w:tcPr>
          <w:p>
            <w:r>
              <w:rPr>
                <w:sz w:val="17"/>
              </w:rPr>
              <w:t>Audit logging</w:t>
            </w:r>
          </w:p>
        </w:tc>
        <w:tc>
          <w:tcPr>
            <w:tcW w:type="dxa" w:w="8496"/>
            <w:vAlign w:val="top"/>
            <w:tcMar>
              <w:top w:w="80" w:type="dxa"/>
              <w:start w:w="80" w:type="dxa"/>
              <w:bottom w:w="80" w:type="dxa"/>
              <w:end w:w="80" w:type="dxa"/>
            </w:tcMar>
          </w:tcPr>
          <w:p>
            <w:r>
              <w:rPr>
                <w:sz w:val="17"/>
              </w:rPr>
              <w:t>Retain pipeline, model refresh, workspace, report usage, and evidence publication logs.</w:t>
            </w:r>
          </w:p>
        </w:tc>
      </w:tr>
      <w:tr>
        <w:tc>
          <w:tcPr>
            <w:tcW w:type="dxa" w:w="2880"/>
            <w:vAlign w:val="top"/>
            <w:tcMar>
              <w:top w:w="80" w:type="dxa"/>
              <w:start w:w="80" w:type="dxa"/>
              <w:bottom w:w="80" w:type="dxa"/>
              <w:end w:w="80" w:type="dxa"/>
            </w:tcMar>
          </w:tcPr>
          <w:p>
            <w:r>
              <w:rPr>
                <w:sz w:val="17"/>
              </w:rPr>
              <w:t>Retention</w:t>
            </w:r>
          </w:p>
        </w:tc>
        <w:tc>
          <w:tcPr>
            <w:tcW w:type="dxa" w:w="8496"/>
            <w:vAlign w:val="top"/>
            <w:tcMar>
              <w:top w:w="80" w:type="dxa"/>
              <w:start w:w="80" w:type="dxa"/>
              <w:bottom w:w="80" w:type="dxa"/>
              <w:end w:w="80" w:type="dxa"/>
            </w:tcMar>
          </w:tcPr>
          <w:p>
            <w:r>
              <w:rPr>
                <w:sz w:val="17"/>
              </w:rPr>
              <w:t>Define retention for raw data, historical snapshots, audit evidence, exceptions, and controlled documents.</w:t>
            </w:r>
          </w:p>
        </w:tc>
      </w:tr>
      <w:tr>
        <w:tc>
          <w:tcPr>
            <w:tcW w:type="dxa" w:w="2880"/>
            <w:vAlign w:val="top"/>
            <w:tcMar>
              <w:top w:w="80" w:type="dxa"/>
              <w:start w:w="80" w:type="dxa"/>
              <w:bottom w:w="80" w:type="dxa"/>
              <w:end w:w="80" w:type="dxa"/>
            </w:tcMar>
          </w:tcPr>
          <w:p>
            <w:r>
              <w:rPr>
                <w:sz w:val="17"/>
              </w:rPr>
              <w:t>Environment separation</w:t>
            </w:r>
          </w:p>
        </w:tc>
        <w:tc>
          <w:tcPr>
            <w:tcW w:type="dxa" w:w="8496"/>
            <w:vAlign w:val="top"/>
            <w:tcMar>
              <w:top w:w="80" w:type="dxa"/>
              <w:start w:w="80" w:type="dxa"/>
              <w:bottom w:w="80" w:type="dxa"/>
              <w:end w:w="80" w:type="dxa"/>
            </w:tcMar>
          </w:tcPr>
          <w:p>
            <w:r>
              <w:rPr>
                <w:sz w:val="17"/>
              </w:rPr>
              <w:t>Use development, test, and production workspaces, pipelines, parameters, and data connections.</w:t>
            </w:r>
          </w:p>
        </w:tc>
      </w:tr>
      <w:tr>
        <w:tc>
          <w:tcPr>
            <w:tcW w:type="dxa" w:w="2880"/>
            <w:vAlign w:val="top"/>
            <w:tcMar>
              <w:top w:w="80" w:type="dxa"/>
              <w:start w:w="80" w:type="dxa"/>
              <w:bottom w:w="80" w:type="dxa"/>
              <w:end w:w="80" w:type="dxa"/>
            </w:tcMar>
          </w:tcPr>
          <w:p>
            <w:r>
              <w:rPr>
                <w:sz w:val="17"/>
              </w:rPr>
              <w:t>Change control</w:t>
            </w:r>
          </w:p>
        </w:tc>
        <w:tc>
          <w:tcPr>
            <w:tcW w:type="dxa" w:w="8496"/>
            <w:vAlign w:val="top"/>
            <w:tcMar>
              <w:top w:w="80" w:type="dxa"/>
              <w:start w:w="80" w:type="dxa"/>
              <w:bottom w:w="80" w:type="dxa"/>
              <w:end w:w="80" w:type="dxa"/>
            </w:tcMar>
          </w:tcPr>
          <w:p>
            <w:r>
              <w:rPr>
                <w:sz w:val="17"/>
              </w:rPr>
              <w:t>Version data transformations, compliance rules, semantic models, and reports; require validation before production release.</w:t>
            </w:r>
          </w:p>
        </w:tc>
      </w:tr>
    </w:tbl>
    <w:p>
      <w:pPr>
        <w:keepLines w:val="0"/>
      </w:pPr>
    </w:p>
    <w:p>
      <w:pPr>
        <w:pStyle w:val="Heading1"/>
        <w:keepLines w:val="0"/>
      </w:pPr>
      <w:r>
        <w:t>9. Evidence Repository Architecture</w:t>
      </w:r>
    </w:p>
    <w:p>
      <w:pPr>
        <w:keepLines w:val="0"/>
      </w:pPr>
      <w:r>
        <w:t>SharePoint should be used as the controlled repository for policies, standards, procedures, meeting evidence, process diagrams, RFI records, and approved audit evidence. The repository should emphasize metadata, ownership, review cycles, and traceability rather than relying on folder names alone.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592"/>
            <w:shd w:fill="1F4E78"/>
            <w:vAlign w:val="center"/>
            <w:tcMar>
              <w:top w:w="80" w:type="dxa"/>
              <w:start w:w="80" w:type="dxa"/>
              <w:bottom w:w="80" w:type="dxa"/>
              <w:end w:w="80" w:type="dxa"/>
            </w:tcMar>
          </w:tcPr>
          <w:p>
            <w:pPr>
              <w:jc w:val="center"/>
            </w:pPr>
            <w:r>
              <w:rPr>
                <w:b/>
                <w:color w:val="FFFFFF"/>
                <w:sz w:val="18"/>
              </w:rPr>
              <w:t>Library or List</w:t>
            </w:r>
          </w:p>
        </w:tc>
        <w:tc>
          <w:tcPr>
            <w:tcW w:type="dxa" w:w="3600"/>
            <w:shd w:fill="1F4E78"/>
            <w:vAlign w:val="center"/>
            <w:tcMar>
              <w:top w:w="80" w:type="dxa"/>
              <w:start w:w="80" w:type="dxa"/>
              <w:bottom w:w="80" w:type="dxa"/>
              <w:end w:w="80" w:type="dxa"/>
            </w:tcMar>
          </w:tcPr>
          <w:p>
            <w:pPr>
              <w:jc w:val="center"/>
            </w:pPr>
            <w:r>
              <w:rPr>
                <w:b/>
                <w:color w:val="FFFFFF"/>
                <w:sz w:val="18"/>
              </w:rPr>
              <w:t>Purpose</w:t>
            </w:r>
          </w:p>
        </w:tc>
        <w:tc>
          <w:tcPr>
            <w:tcW w:type="dxa" w:w="5472"/>
            <w:shd w:fill="1F4E78"/>
            <w:vAlign w:val="center"/>
            <w:tcMar>
              <w:top w:w="80" w:type="dxa"/>
              <w:start w:w="80" w:type="dxa"/>
              <w:bottom w:w="80" w:type="dxa"/>
              <w:end w:w="80" w:type="dxa"/>
            </w:tcMar>
          </w:tcPr>
          <w:p>
            <w:pPr>
              <w:jc w:val="center"/>
            </w:pPr>
            <w:r>
              <w:rPr>
                <w:b/>
                <w:color w:val="FFFFFF"/>
                <w:sz w:val="18"/>
              </w:rPr>
              <w:t>Key Metadata</w:t>
            </w:r>
          </w:p>
        </w:tc>
      </w:tr>
      <w:tr>
        <w:tc>
          <w:tcPr>
            <w:tcW w:type="dxa" w:w="2592"/>
            <w:vAlign w:val="top"/>
            <w:tcMar>
              <w:top w:w="80" w:type="dxa"/>
              <w:start w:w="80" w:type="dxa"/>
              <w:bottom w:w="80" w:type="dxa"/>
              <w:end w:w="80" w:type="dxa"/>
            </w:tcMar>
          </w:tcPr>
          <w:p>
            <w:r>
              <w:rPr>
                <w:sz w:val="17"/>
              </w:rPr>
              <w:t>Policies, Standards and Procedures</w:t>
            </w:r>
          </w:p>
        </w:tc>
        <w:tc>
          <w:tcPr>
            <w:tcW w:type="dxa" w:w="3600"/>
            <w:vAlign w:val="top"/>
            <w:tcMar>
              <w:top w:w="80" w:type="dxa"/>
              <w:start w:w="80" w:type="dxa"/>
              <w:bottom w:w="80" w:type="dxa"/>
              <w:end w:w="80" w:type="dxa"/>
            </w:tcMar>
          </w:tcPr>
          <w:p>
            <w:r>
              <w:rPr>
                <w:sz w:val="17"/>
              </w:rPr>
              <w:t>Controlled EUC documentation.</w:t>
            </w:r>
          </w:p>
        </w:tc>
        <w:tc>
          <w:tcPr>
            <w:tcW w:type="dxa" w:w="5472"/>
            <w:vAlign w:val="top"/>
            <w:tcMar>
              <w:top w:w="80" w:type="dxa"/>
              <w:start w:w="80" w:type="dxa"/>
              <w:bottom w:w="80" w:type="dxa"/>
              <w:end w:w="80" w:type="dxa"/>
            </w:tcMar>
          </w:tcPr>
          <w:p>
            <w:r>
              <w:rPr>
                <w:sz w:val="17"/>
              </w:rPr>
              <w:t>Document type, domain, control, owner, version, effective date, next review, authoritative source.</w:t>
            </w:r>
          </w:p>
        </w:tc>
      </w:tr>
      <w:tr>
        <w:tc>
          <w:tcPr>
            <w:tcW w:type="dxa" w:w="2592"/>
            <w:vAlign w:val="top"/>
            <w:tcMar>
              <w:top w:w="80" w:type="dxa"/>
              <w:start w:w="80" w:type="dxa"/>
              <w:bottom w:w="80" w:type="dxa"/>
              <w:end w:w="80" w:type="dxa"/>
            </w:tcMar>
          </w:tcPr>
          <w:p>
            <w:r>
              <w:rPr>
                <w:sz w:val="17"/>
              </w:rPr>
              <w:t>Audit Evidence</w:t>
            </w:r>
          </w:p>
        </w:tc>
        <w:tc>
          <w:tcPr>
            <w:tcW w:type="dxa" w:w="3600"/>
            <w:vAlign w:val="top"/>
            <w:tcMar>
              <w:top w:w="80" w:type="dxa"/>
              <w:start w:w="80" w:type="dxa"/>
              <w:bottom w:w="80" w:type="dxa"/>
              <w:end w:w="80" w:type="dxa"/>
            </w:tcMar>
          </w:tcPr>
          <w:p>
            <w:r>
              <w:rPr>
                <w:sz w:val="17"/>
              </w:rPr>
              <w:t>Approved evidence packages by control and reporting period.</w:t>
            </w:r>
          </w:p>
        </w:tc>
        <w:tc>
          <w:tcPr>
            <w:tcW w:type="dxa" w:w="5472"/>
            <w:vAlign w:val="top"/>
            <w:tcMar>
              <w:top w:w="80" w:type="dxa"/>
              <w:start w:w="80" w:type="dxa"/>
              <w:bottom w:w="80" w:type="dxa"/>
              <w:end w:w="80" w:type="dxa"/>
            </w:tcMar>
          </w:tcPr>
          <w:p>
            <w:r>
              <w:rPr>
                <w:sz w:val="17"/>
              </w:rPr>
              <w:t>Audit/RFI, control, evidence period, source snapshot, preparer, approver, retention date.</w:t>
            </w:r>
          </w:p>
        </w:tc>
      </w:tr>
      <w:tr>
        <w:tc>
          <w:tcPr>
            <w:tcW w:type="dxa" w:w="2592"/>
            <w:vAlign w:val="top"/>
            <w:tcMar>
              <w:top w:w="80" w:type="dxa"/>
              <w:start w:w="80" w:type="dxa"/>
              <w:bottom w:w="80" w:type="dxa"/>
              <w:end w:w="80" w:type="dxa"/>
            </w:tcMar>
          </w:tcPr>
          <w:p>
            <w:r>
              <w:rPr>
                <w:sz w:val="17"/>
              </w:rPr>
              <w:t>Monthly Governance Materials</w:t>
            </w:r>
          </w:p>
        </w:tc>
        <w:tc>
          <w:tcPr>
            <w:tcW w:type="dxa" w:w="3600"/>
            <w:vAlign w:val="top"/>
            <w:tcMar>
              <w:top w:w="80" w:type="dxa"/>
              <w:start w:w="80" w:type="dxa"/>
              <w:bottom w:w="80" w:type="dxa"/>
              <w:end w:w="80" w:type="dxa"/>
            </w:tcMar>
          </w:tcPr>
          <w:p>
            <w:r>
              <w:rPr>
                <w:sz w:val="17"/>
              </w:rPr>
              <w:t>Recurring meeting decks and evidence.</w:t>
            </w:r>
          </w:p>
        </w:tc>
        <w:tc>
          <w:tcPr>
            <w:tcW w:type="dxa" w:w="5472"/>
            <w:vAlign w:val="top"/>
            <w:tcMar>
              <w:top w:w="80" w:type="dxa"/>
              <w:start w:w="80" w:type="dxa"/>
              <w:bottom w:w="80" w:type="dxa"/>
              <w:end w:w="80" w:type="dxa"/>
            </w:tcMar>
          </w:tcPr>
          <w:p>
            <w:r>
              <w:rPr>
                <w:sz w:val="17"/>
              </w:rPr>
              <w:t>Meeting type, reporting month, domain, owner, approval state.</w:t>
            </w:r>
          </w:p>
        </w:tc>
      </w:tr>
      <w:tr>
        <w:tc>
          <w:tcPr>
            <w:tcW w:type="dxa" w:w="2592"/>
            <w:vAlign w:val="top"/>
            <w:tcMar>
              <w:top w:w="80" w:type="dxa"/>
              <w:start w:w="80" w:type="dxa"/>
              <w:bottom w:w="80" w:type="dxa"/>
              <w:end w:w="80" w:type="dxa"/>
            </w:tcMar>
          </w:tcPr>
          <w:p>
            <w:r>
              <w:rPr>
                <w:sz w:val="17"/>
              </w:rPr>
              <w:t>Process Library</w:t>
            </w:r>
          </w:p>
        </w:tc>
        <w:tc>
          <w:tcPr>
            <w:tcW w:type="dxa" w:w="3600"/>
            <w:vAlign w:val="top"/>
            <w:tcMar>
              <w:top w:w="80" w:type="dxa"/>
              <w:start w:w="80" w:type="dxa"/>
              <w:bottom w:w="80" w:type="dxa"/>
              <w:end w:w="80" w:type="dxa"/>
            </w:tcMar>
          </w:tcPr>
          <w:p>
            <w:r>
              <w:rPr>
                <w:sz w:val="17"/>
              </w:rPr>
              <w:t>End-to-end process flows and operating procedures.</w:t>
            </w:r>
          </w:p>
        </w:tc>
        <w:tc>
          <w:tcPr>
            <w:tcW w:type="dxa" w:w="5472"/>
            <w:vAlign w:val="top"/>
            <w:tcMar>
              <w:top w:w="80" w:type="dxa"/>
              <w:start w:w="80" w:type="dxa"/>
              <w:bottom w:w="80" w:type="dxa"/>
              <w:end w:w="80" w:type="dxa"/>
            </w:tcMar>
          </w:tcPr>
          <w:p>
            <w:r>
              <w:rPr>
                <w:sz w:val="17"/>
              </w:rPr>
              <w:t>Process owner, inputs, outputs, systems, dependencies, hand-offs, control mapping.</w:t>
            </w:r>
          </w:p>
        </w:tc>
      </w:tr>
      <w:tr>
        <w:tc>
          <w:tcPr>
            <w:tcW w:type="dxa" w:w="2592"/>
            <w:vAlign w:val="top"/>
            <w:tcMar>
              <w:top w:w="80" w:type="dxa"/>
              <w:start w:w="80" w:type="dxa"/>
              <w:bottom w:w="80" w:type="dxa"/>
              <w:end w:w="80" w:type="dxa"/>
            </w:tcMar>
          </w:tcPr>
          <w:p>
            <w:r>
              <w:rPr>
                <w:sz w:val="17"/>
              </w:rPr>
              <w:t>RFI Catalog</w:t>
            </w:r>
          </w:p>
        </w:tc>
        <w:tc>
          <w:tcPr>
            <w:tcW w:type="dxa" w:w="3600"/>
            <w:vAlign w:val="top"/>
            <w:tcMar>
              <w:top w:w="80" w:type="dxa"/>
              <w:start w:w="80" w:type="dxa"/>
              <w:bottom w:w="80" w:type="dxa"/>
              <w:end w:w="80" w:type="dxa"/>
            </w:tcMar>
          </w:tcPr>
          <w:p>
            <w:r>
              <w:rPr>
                <w:sz w:val="17"/>
              </w:rPr>
              <w:t>Normalized requests and standard evidence responses.</w:t>
            </w:r>
          </w:p>
        </w:tc>
        <w:tc>
          <w:tcPr>
            <w:tcW w:type="dxa" w:w="5472"/>
            <w:vAlign w:val="top"/>
            <w:tcMar>
              <w:top w:w="80" w:type="dxa"/>
              <w:start w:w="80" w:type="dxa"/>
              <w:bottom w:w="80" w:type="dxa"/>
              <w:end w:w="80" w:type="dxa"/>
            </w:tcMar>
          </w:tcPr>
          <w:p>
            <w:r>
              <w:rPr>
                <w:sz w:val="17"/>
              </w:rPr>
              <w:t>RFI ID, request, regulation/control, evidence type, data source, report, owner, automation status.</w:t>
            </w:r>
          </w:p>
        </w:tc>
      </w:tr>
      <w:tr>
        <w:tc>
          <w:tcPr>
            <w:tcW w:type="dxa" w:w="2592"/>
            <w:vAlign w:val="top"/>
            <w:tcMar>
              <w:top w:w="80" w:type="dxa"/>
              <w:start w:w="80" w:type="dxa"/>
              <w:bottom w:w="80" w:type="dxa"/>
              <w:end w:w="80" w:type="dxa"/>
            </w:tcMar>
          </w:tcPr>
          <w:p>
            <w:r>
              <w:rPr>
                <w:sz w:val="17"/>
              </w:rPr>
              <w:t>Exception Register</w:t>
            </w:r>
          </w:p>
        </w:tc>
        <w:tc>
          <w:tcPr>
            <w:tcW w:type="dxa" w:w="3600"/>
            <w:vAlign w:val="top"/>
            <w:tcMar>
              <w:top w:w="80" w:type="dxa"/>
              <w:start w:w="80" w:type="dxa"/>
              <w:bottom w:w="80" w:type="dxa"/>
              <w:end w:w="80" w:type="dxa"/>
            </w:tcMar>
          </w:tcPr>
          <w:p>
            <w:r>
              <w:rPr>
                <w:sz w:val="17"/>
              </w:rPr>
              <w:t>Only if an enterprise risk system is unavailable.</w:t>
            </w:r>
          </w:p>
        </w:tc>
        <w:tc>
          <w:tcPr>
            <w:tcW w:type="dxa" w:w="5472"/>
            <w:vAlign w:val="top"/>
            <w:tcMar>
              <w:top w:w="80" w:type="dxa"/>
              <w:start w:w="80" w:type="dxa"/>
              <w:bottom w:w="80" w:type="dxa"/>
              <w:end w:w="80" w:type="dxa"/>
            </w:tcMar>
          </w:tcPr>
          <w:p>
            <w:r>
              <w:rPr>
                <w:sz w:val="17"/>
              </w:rPr>
              <w:t>Control, device or population, approval, justification, compensating control, expiration, risk owner.</w:t>
            </w:r>
          </w:p>
        </w:tc>
      </w:tr>
    </w:tbl>
    <w:p>
      <w:pPr>
        <w:keepLines w:val="0"/>
      </w:pPr>
    </w:p>
    <w:p>
      <w:pPr>
        <w:pStyle w:val="Heading2"/>
        <w:keepLines w:val="0"/>
      </w:pPr>
      <w:r>
        <w:t>9.1 RFI Normalization</w:t>
      </w:r>
    </w:p>
    <w:p>
      <w:pPr>
        <w:pStyle w:val="ListBullet"/>
        <w:keepLines w:val="0"/>
        <w:spacing w:after="40"/>
      </w:pPr>
      <w:r>
        <w:t>Assign a reusable RFI identifier and description.</w:t>
      </w:r>
    </w:p>
    <w:p>
      <w:pPr>
        <w:pStyle w:val="ListBullet"/>
        <w:keepLines w:val="0"/>
        <w:spacing w:after="40"/>
      </w:pPr>
      <w:r>
        <w:t>Map each request to regulations, audit controls, and EUC standards.</w:t>
      </w:r>
    </w:p>
    <w:p>
      <w:pPr>
        <w:pStyle w:val="ListBullet"/>
        <w:keepLines w:val="0"/>
        <w:spacing w:after="40"/>
      </w:pPr>
      <w:r>
        <w:t>Define the required population, evidence period, filters, and approval process.</w:t>
      </w:r>
    </w:p>
    <w:p>
      <w:pPr>
        <w:pStyle w:val="ListBullet"/>
        <w:keepLines w:val="0"/>
        <w:spacing w:after="40"/>
      </w:pPr>
      <w:r>
        <w:t>Identify the authoritative data source and standard dashboard or export.</w:t>
      </w:r>
    </w:p>
    <w:p>
      <w:pPr>
        <w:pStyle w:val="ListBullet"/>
        <w:keepLines w:val="0"/>
        <w:spacing w:after="40"/>
      </w:pPr>
      <w:r>
        <w:t>Retain prior evidence packages and response history.</w:t>
      </w:r>
    </w:p>
    <w:p>
      <w:pPr>
        <w:pStyle w:val="ListBullet"/>
        <w:keepLines w:val="0"/>
        <w:spacing w:after="40"/>
      </w:pPr>
      <w:r>
        <w:t>Track whether the request is automated, partially automated, or manual.</w:t>
      </w:r>
    </w:p>
    <w:p>
      <w:pPr>
        <w:pStyle w:val="Heading1"/>
        <w:keepLines w:val="0"/>
      </w:pPr>
      <w:r>
        <w:t>10. Data Quality and Operational Controls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shd w:fill="1F4E78"/>
            <w:vAlign w:val="center"/>
            <w:tcMar>
              <w:top w:w="80" w:type="dxa"/>
              <w:start w:w="80" w:type="dxa"/>
              <w:bottom w:w="80" w:type="dxa"/>
              <w:end w:w="80" w:type="dxa"/>
            </w:tcMar>
          </w:tcPr>
          <w:p>
            <w:pPr>
              <w:jc w:val="center"/>
            </w:pPr>
            <w:r>
              <w:rPr>
                <w:b/>
                <w:color w:val="FFFFFF"/>
                <w:sz w:val="18"/>
              </w:rPr>
              <w:t>Control</w:t>
            </w:r>
          </w:p>
        </w:tc>
        <w:tc>
          <w:tcPr>
            <w:tcW w:type="dxa" w:w="8496"/>
            <w:shd w:fill="1F4E78"/>
            <w:vAlign w:val="center"/>
            <w:tcMar>
              <w:top w:w="80" w:type="dxa"/>
              <w:start w:w="80" w:type="dxa"/>
              <w:bottom w:w="80" w:type="dxa"/>
              <w:end w:w="80" w:type="dxa"/>
            </w:tcMar>
          </w:tcPr>
          <w:p>
            <w:pPr>
              <w:jc w:val="center"/>
            </w:pPr>
            <w:r>
              <w:rPr>
                <w:b/>
                <w:color w:val="FFFFFF"/>
                <w:sz w:val="18"/>
              </w:rPr>
              <w:t>Example Metric</w:t>
            </w:r>
          </w:p>
        </w:tc>
      </w:tr>
      <w:tr>
        <w:tc>
          <w:tcPr>
            <w:tcW w:type="dxa" w:w="2880"/>
            <w:vAlign w:val="top"/>
            <w:tcMar>
              <w:top w:w="80" w:type="dxa"/>
              <w:start w:w="80" w:type="dxa"/>
              <w:bottom w:w="80" w:type="dxa"/>
              <w:end w:w="80" w:type="dxa"/>
            </w:tcMar>
          </w:tcPr>
          <w:p>
            <w:r>
              <w:rPr>
                <w:sz w:val="17"/>
              </w:rPr>
              <w:t>Freshness</w:t>
            </w:r>
          </w:p>
        </w:tc>
        <w:tc>
          <w:tcPr>
            <w:tcW w:type="dxa" w:w="8496"/>
            <w:vAlign w:val="top"/>
            <w:tcMar>
              <w:top w:w="80" w:type="dxa"/>
              <w:start w:w="80" w:type="dxa"/>
              <w:bottom w:w="80" w:type="dxa"/>
              <w:end w:w="80" w:type="dxa"/>
            </w:tcMar>
          </w:tcPr>
          <w:p>
            <w:r>
              <w:rPr>
                <w:sz w:val="17"/>
              </w:rPr>
              <w:t>Hours since last successful source load compared with expected threshold.</w:t>
            </w:r>
          </w:p>
        </w:tc>
      </w:tr>
      <w:tr>
        <w:tc>
          <w:tcPr>
            <w:tcW w:type="dxa" w:w="2880"/>
            <w:vAlign w:val="top"/>
            <w:tcMar>
              <w:top w:w="80" w:type="dxa"/>
              <w:start w:w="80" w:type="dxa"/>
              <w:bottom w:w="80" w:type="dxa"/>
              <w:end w:w="80" w:type="dxa"/>
            </w:tcMar>
          </w:tcPr>
          <w:p>
            <w:r>
              <w:rPr>
                <w:sz w:val="17"/>
              </w:rPr>
              <w:t>Completeness</w:t>
            </w:r>
          </w:p>
        </w:tc>
        <w:tc>
          <w:tcPr>
            <w:tcW w:type="dxa" w:w="8496"/>
            <w:vAlign w:val="top"/>
            <w:tcMar>
              <w:top w:w="80" w:type="dxa"/>
              <w:start w:w="80" w:type="dxa"/>
              <w:bottom w:w="80" w:type="dxa"/>
              <w:end w:w="80" w:type="dxa"/>
            </w:tcMar>
          </w:tcPr>
          <w:p>
            <w:r>
              <w:rPr>
                <w:sz w:val="17"/>
              </w:rPr>
              <w:t>Percentage of active devices with required source records and organizational ownership.</w:t>
            </w:r>
          </w:p>
        </w:tc>
      </w:tr>
      <w:tr>
        <w:tc>
          <w:tcPr>
            <w:tcW w:type="dxa" w:w="2880"/>
            <w:vAlign w:val="top"/>
            <w:tcMar>
              <w:top w:w="80" w:type="dxa"/>
              <w:start w:w="80" w:type="dxa"/>
              <w:bottom w:w="80" w:type="dxa"/>
              <w:end w:w="80" w:type="dxa"/>
            </w:tcMar>
          </w:tcPr>
          <w:p>
            <w:r>
              <w:rPr>
                <w:sz w:val="17"/>
              </w:rPr>
              <w:t>Correlation</w:t>
            </w:r>
          </w:p>
        </w:tc>
        <w:tc>
          <w:tcPr>
            <w:tcW w:type="dxa" w:w="8496"/>
            <w:vAlign w:val="top"/>
            <w:tcMar>
              <w:top w:w="80" w:type="dxa"/>
              <w:start w:w="80" w:type="dxa"/>
              <w:bottom w:w="80" w:type="dxa"/>
              <w:end w:w="80" w:type="dxa"/>
            </w:tcMar>
          </w:tcPr>
          <w:p>
            <w:r>
              <w:rPr>
                <w:sz w:val="17"/>
              </w:rPr>
              <w:t>Percentage of source devices mapped to a canonical device at high confidence.</w:t>
            </w:r>
          </w:p>
        </w:tc>
      </w:tr>
      <w:tr>
        <w:tc>
          <w:tcPr>
            <w:tcW w:type="dxa" w:w="2880"/>
            <w:vAlign w:val="top"/>
            <w:tcMar>
              <w:top w:w="80" w:type="dxa"/>
              <w:start w:w="80" w:type="dxa"/>
              <w:bottom w:w="80" w:type="dxa"/>
              <w:end w:w="80" w:type="dxa"/>
            </w:tcMar>
          </w:tcPr>
          <w:p>
            <w:r>
              <w:rPr>
                <w:sz w:val="17"/>
              </w:rPr>
              <w:t>Uniqueness</w:t>
            </w:r>
          </w:p>
        </w:tc>
        <w:tc>
          <w:tcPr>
            <w:tcW w:type="dxa" w:w="8496"/>
            <w:vAlign w:val="top"/>
            <w:tcMar>
              <w:top w:w="80" w:type="dxa"/>
              <w:start w:w="80" w:type="dxa"/>
              <w:bottom w:w="80" w:type="dxa"/>
              <w:end w:w="80" w:type="dxa"/>
            </w:tcMar>
          </w:tcPr>
          <w:p>
            <w:r>
              <w:rPr>
                <w:sz w:val="17"/>
              </w:rPr>
              <w:t>Duplicate serial numbers, device IDs, hostnames, and active asset records.</w:t>
            </w:r>
          </w:p>
        </w:tc>
      </w:tr>
      <w:tr>
        <w:tc>
          <w:tcPr>
            <w:tcW w:type="dxa" w:w="2880"/>
            <w:vAlign w:val="top"/>
            <w:tcMar>
              <w:top w:w="80" w:type="dxa"/>
              <w:start w:w="80" w:type="dxa"/>
              <w:bottom w:w="80" w:type="dxa"/>
              <w:end w:w="80" w:type="dxa"/>
            </w:tcMar>
          </w:tcPr>
          <w:p>
            <w:r>
              <w:rPr>
                <w:sz w:val="17"/>
              </w:rPr>
              <w:t>Validity</w:t>
            </w:r>
          </w:p>
        </w:tc>
        <w:tc>
          <w:tcPr>
            <w:tcW w:type="dxa" w:w="8496"/>
            <w:vAlign w:val="top"/>
            <w:tcMar>
              <w:top w:w="80" w:type="dxa"/>
              <w:start w:w="80" w:type="dxa"/>
              <w:bottom w:w="80" w:type="dxa"/>
              <w:end w:w="80" w:type="dxa"/>
            </w:tcMar>
          </w:tcPr>
          <w:p>
            <w:r>
              <w:rPr>
                <w:sz w:val="17"/>
              </w:rPr>
              <w:t>Invalid dates, unexpected statuses, negative counts, or malformed identifiers.</w:t>
            </w:r>
          </w:p>
        </w:tc>
      </w:tr>
      <w:tr>
        <w:tc>
          <w:tcPr>
            <w:tcW w:type="dxa" w:w="2880"/>
            <w:vAlign w:val="top"/>
            <w:tcMar>
              <w:top w:w="80" w:type="dxa"/>
              <w:start w:w="80" w:type="dxa"/>
              <w:bottom w:w="80" w:type="dxa"/>
              <w:end w:w="80" w:type="dxa"/>
            </w:tcMar>
          </w:tcPr>
          <w:p>
            <w:r>
              <w:rPr>
                <w:sz w:val="17"/>
              </w:rPr>
              <w:t>Consistency</w:t>
            </w:r>
          </w:p>
        </w:tc>
        <w:tc>
          <w:tcPr>
            <w:tcW w:type="dxa" w:w="8496"/>
            <w:vAlign w:val="top"/>
            <w:tcMar>
              <w:top w:w="80" w:type="dxa"/>
              <w:start w:w="80" w:type="dxa"/>
              <w:bottom w:w="80" w:type="dxa"/>
              <w:end w:w="80" w:type="dxa"/>
            </w:tcMar>
          </w:tcPr>
          <w:p>
            <w:r>
              <w:rPr>
                <w:sz w:val="17"/>
              </w:rPr>
              <w:t>Conflicting lifecycle, encryption, OS, owner, or management states across systems.</w:t>
            </w:r>
          </w:p>
        </w:tc>
      </w:tr>
      <w:tr>
        <w:tc>
          <w:tcPr>
            <w:tcW w:type="dxa" w:w="2880"/>
            <w:vAlign w:val="top"/>
            <w:tcMar>
              <w:top w:w="80" w:type="dxa"/>
              <w:start w:w="80" w:type="dxa"/>
              <w:bottom w:w="80" w:type="dxa"/>
              <w:end w:w="80" w:type="dxa"/>
            </w:tcMar>
          </w:tcPr>
          <w:p>
            <w:r>
              <w:rPr>
                <w:sz w:val="17"/>
              </w:rPr>
              <w:t>Evaluation coverage</w:t>
            </w:r>
          </w:p>
        </w:tc>
        <w:tc>
          <w:tcPr>
            <w:tcW w:type="dxa" w:w="8496"/>
            <w:vAlign w:val="top"/>
            <w:tcMar>
              <w:top w:w="80" w:type="dxa"/>
              <w:start w:w="80" w:type="dxa"/>
              <w:bottom w:w="80" w:type="dxa"/>
              <w:end w:w="80" w:type="dxa"/>
            </w:tcMar>
          </w:tcPr>
          <w:p>
            <w:r>
              <w:rPr>
                <w:sz w:val="17"/>
              </w:rPr>
              <w:t>Percentage of the applicable population that received a valid control evaluation.</w:t>
            </w:r>
          </w:p>
        </w:tc>
      </w:tr>
      <w:tr>
        <w:tc>
          <w:tcPr>
            <w:tcW w:type="dxa" w:w="2880"/>
            <w:vAlign w:val="top"/>
            <w:tcMar>
              <w:top w:w="80" w:type="dxa"/>
              <w:start w:w="80" w:type="dxa"/>
              <w:bottom w:w="80" w:type="dxa"/>
              <w:end w:w="80" w:type="dxa"/>
            </w:tcMar>
          </w:tcPr>
          <w:p>
            <w:r>
              <w:rPr>
                <w:sz w:val="17"/>
              </w:rPr>
              <w:t>Pipeline reliability</w:t>
            </w:r>
          </w:p>
        </w:tc>
        <w:tc>
          <w:tcPr>
            <w:tcW w:type="dxa" w:w="8496"/>
            <w:vAlign w:val="top"/>
            <w:tcMar>
              <w:top w:w="80" w:type="dxa"/>
              <w:start w:w="80" w:type="dxa"/>
              <w:bottom w:w="80" w:type="dxa"/>
              <w:end w:w="80" w:type="dxa"/>
            </w:tcMar>
          </w:tcPr>
          <w:p>
            <w:r>
              <w:rPr>
                <w:sz w:val="17"/>
              </w:rPr>
              <w:t>Successful runs, failed runs, rejected records, retry count, and recovery time.</w:t>
            </w:r>
          </w:p>
        </w:tc>
      </w:tr>
      <w:tr>
        <w:tc>
          <w:tcPr>
            <w:tcW w:type="dxa" w:w="2880"/>
            <w:vAlign w:val="top"/>
            <w:tcMar>
              <w:top w:w="80" w:type="dxa"/>
              <w:start w:w="80" w:type="dxa"/>
              <w:bottom w:w="80" w:type="dxa"/>
              <w:end w:w="80" w:type="dxa"/>
            </w:tcMar>
          </w:tcPr>
          <w:p>
            <w:r>
              <w:rPr>
                <w:sz w:val="17"/>
              </w:rPr>
              <w:t>Reconciliation</w:t>
            </w:r>
          </w:p>
        </w:tc>
        <w:tc>
          <w:tcPr>
            <w:tcW w:type="dxa" w:w="8496"/>
            <w:vAlign w:val="top"/>
            <w:tcMar>
              <w:top w:w="80" w:type="dxa"/>
              <w:start w:w="80" w:type="dxa"/>
              <w:bottom w:w="80" w:type="dxa"/>
              <w:end w:w="80" w:type="dxa"/>
            </w:tcMar>
          </w:tcPr>
          <w:p>
            <w:r>
              <w:rPr>
                <w:sz w:val="17"/>
              </w:rPr>
              <w:t>Difference between source totals, curated totals, dashboard totals, and approved evidence totals.</w:t>
            </w:r>
          </w:p>
        </w:tc>
      </w:tr>
    </w:tbl>
    <w:p>
      <w:pPr>
        <w:keepLines w:val="0"/>
      </w:pPr>
    </w:p>
    <w:tbl>
      <w:tblPr>
        <w:tblW w:type="auto" w:w="0"/>
        <w:jc w:val="center"/>
        <w:tblLook w:firstColumn="1" w:firstRow="1" w:lastColumn="0" w:lastRow="0" w:noHBand="0" w:noVBand="1" w:val="04A0"/>
      </w:tblPr>
      <w:tblGrid>
        <w:gridCol w:w="10080"/>
      </w:tblGrid>
      <w:tr>
        <w:tc>
          <w:tcPr>
            <w:tcW w:type="dxa" w:w="10080"/>
            <w:shd w:fill="EAF2F8"/>
            <w:tcMar>
              <w:top w:w="120" w:type="dxa"/>
              <w:start w:w="140" w:type="dxa"/>
              <w:bottom w:w="120" w:type="dxa"/>
              <w:end w:w="140" w:type="dxa"/>
            </w:tcMar>
          </w:tcPr>
          <w:p>
            <w:r>
              <w:rPr>
                <w:b/>
                <w:color w:val="1F4E78"/>
              </w:rPr>
              <w:t>Operational requirement</w:t>
              <w:br/>
            </w:r>
            <w:r>
              <w:t>The Power BI solution should include a restricted data quality and refresh operations page. Report consumers must be able to distinguish a true compliance failure from missing or delayed source data.</w:t>
            </w:r>
          </w:p>
        </w:tc>
      </w:tr>
    </w:tbl>
    <w:p>
      <w:pPr>
        <w:keepLines w:val="0"/>
      </w:pPr>
    </w:p>
    <w:p>
      <w:pPr>
        <w:pStyle w:val="Heading1"/>
        <w:keepLines w:val="0"/>
      </w:pPr>
      <w:r>
        <w:t>11. Delivery Phases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304"/>
            <w:shd w:fill="1F4E78"/>
            <w:vAlign w:val="center"/>
            <w:tcMar>
              <w:top w:w="80" w:type="dxa"/>
              <w:start w:w="80" w:type="dxa"/>
              <w:bottom w:w="80" w:type="dxa"/>
              <w:end w:w="80" w:type="dxa"/>
            </w:tcMar>
          </w:tcPr>
          <w:p>
            <w:pPr>
              <w:jc w:val="center"/>
            </w:pPr>
            <w:r>
              <w:rPr>
                <w:b/>
                <w:color w:val="FFFFFF"/>
                <w:sz w:val="18"/>
              </w:rPr>
              <w:t>Phase</w:t>
            </w:r>
          </w:p>
        </w:tc>
        <w:tc>
          <w:tcPr>
            <w:tcW w:type="dxa" w:w="4608"/>
            <w:shd w:fill="1F4E78"/>
            <w:vAlign w:val="center"/>
            <w:tcMar>
              <w:top w:w="80" w:type="dxa"/>
              <w:start w:w="80" w:type="dxa"/>
              <w:bottom w:w="80" w:type="dxa"/>
              <w:end w:w="80" w:type="dxa"/>
            </w:tcMar>
          </w:tcPr>
          <w:p>
            <w:pPr>
              <w:jc w:val="center"/>
            </w:pPr>
            <w:r>
              <w:rPr>
                <w:b/>
                <w:color w:val="FFFFFF"/>
                <w:sz w:val="18"/>
              </w:rPr>
              <w:t>Scope</w:t>
            </w:r>
          </w:p>
        </w:tc>
        <w:tc>
          <w:tcPr>
            <w:tcW w:type="dxa" w:w="4320"/>
            <w:shd w:fill="1F4E78"/>
            <w:vAlign w:val="center"/>
            <w:tcMar>
              <w:top w:w="80" w:type="dxa"/>
              <w:start w:w="80" w:type="dxa"/>
              <w:bottom w:w="80" w:type="dxa"/>
              <w:end w:w="80" w:type="dxa"/>
            </w:tcMar>
          </w:tcPr>
          <w:p>
            <w:pPr>
              <w:jc w:val="center"/>
            </w:pPr>
            <w:r>
              <w:rPr>
                <w:b/>
                <w:color w:val="FFFFFF"/>
                <w:sz w:val="18"/>
              </w:rPr>
              <w:t>Key Outcomes</w:t>
            </w:r>
          </w:p>
        </w:tc>
      </w:tr>
      <w:tr>
        <w:tc>
          <w:tcPr>
            <w:tcW w:type="dxa" w:w="2304"/>
            <w:vAlign w:val="top"/>
            <w:tcMar>
              <w:top w:w="80" w:type="dxa"/>
              <w:start w:w="80" w:type="dxa"/>
              <w:bottom w:w="80" w:type="dxa"/>
              <w:end w:w="80" w:type="dxa"/>
            </w:tcMar>
          </w:tcPr>
          <w:p>
            <w:r>
              <w:rPr>
                <w:sz w:val="17"/>
              </w:rPr>
              <w:t>Phase 1 - Foundation and MVP</w:t>
            </w:r>
          </w:p>
        </w:tc>
        <w:tc>
          <w:tcPr>
            <w:tcW w:type="dxa" w:w="4608"/>
            <w:vAlign w:val="top"/>
            <w:tcMar>
              <w:top w:w="80" w:type="dxa"/>
              <w:start w:w="80" w:type="dxa"/>
              <w:bottom w:w="80" w:type="dxa"/>
              <w:end w:w="80" w:type="dxa"/>
            </w:tcMar>
          </w:tcPr>
          <w:p>
            <w:r>
              <w:rPr>
                <w:sz w:val="17"/>
              </w:rPr>
              <w:t>Control definitions, source inventory, device identity, canonical schema, mock data, executive and configuration dashboards.</w:t>
            </w:r>
          </w:p>
        </w:tc>
        <w:tc>
          <w:tcPr>
            <w:tcW w:type="dxa" w:w="4320"/>
            <w:vAlign w:val="top"/>
            <w:tcMar>
              <w:top w:w="80" w:type="dxa"/>
              <w:start w:w="80" w:type="dxa"/>
              <w:bottom w:w="80" w:type="dxa"/>
              <w:end w:w="80" w:type="dxa"/>
            </w:tcMar>
          </w:tcPr>
          <w:p>
            <w:r>
              <w:rPr>
                <w:sz w:val="17"/>
              </w:rPr>
              <w:t>Validated architecture, initial semantic model, dashboard patterns, audit export proof of concept.</w:t>
            </w:r>
          </w:p>
        </w:tc>
      </w:tr>
      <w:tr>
        <w:tc>
          <w:tcPr>
            <w:tcW w:type="dxa" w:w="2304"/>
            <w:vAlign w:val="top"/>
            <w:tcMar>
              <w:top w:w="80" w:type="dxa"/>
              <w:start w:w="80" w:type="dxa"/>
              <w:bottom w:w="80" w:type="dxa"/>
              <w:end w:w="80" w:type="dxa"/>
            </w:tcMar>
          </w:tcPr>
          <w:p>
            <w:r>
              <w:rPr>
                <w:sz w:val="17"/>
              </w:rPr>
              <w:t>Phase 2 - Encryption, Vulnerability and Patch</w:t>
            </w:r>
          </w:p>
        </w:tc>
        <w:tc>
          <w:tcPr>
            <w:tcW w:type="dxa" w:w="4608"/>
            <w:vAlign w:val="top"/>
            <w:tcMar>
              <w:top w:w="80" w:type="dxa"/>
              <w:start w:w="80" w:type="dxa"/>
              <w:bottom w:w="80" w:type="dxa"/>
              <w:end w:w="80" w:type="dxa"/>
            </w:tcMar>
          </w:tcPr>
          <w:p>
            <w:r>
              <w:rPr>
                <w:sz w:val="17"/>
              </w:rPr>
              <w:t>Tanium/Tenable integration, encryption, patch SLA, vulnerability findings, historical snapshots.</w:t>
            </w:r>
          </w:p>
        </w:tc>
        <w:tc>
          <w:tcPr>
            <w:tcW w:type="dxa" w:w="4320"/>
            <w:vAlign w:val="top"/>
            <w:tcMar>
              <w:top w:w="80" w:type="dxa"/>
              <w:start w:w="80" w:type="dxa"/>
              <w:bottom w:w="80" w:type="dxa"/>
              <w:end w:w="80" w:type="dxa"/>
            </w:tcMar>
          </w:tcPr>
          <w:p>
            <w:r>
              <w:rPr>
                <w:sz w:val="17"/>
              </w:rPr>
              <w:t>Security posture dashboards, detailed finding evidence, automated monthly and quarterly exports.</w:t>
            </w:r>
          </w:p>
        </w:tc>
      </w:tr>
      <w:tr>
        <w:tc>
          <w:tcPr>
            <w:tcW w:type="dxa" w:w="2304"/>
            <w:vAlign w:val="top"/>
            <w:tcMar>
              <w:top w:w="80" w:type="dxa"/>
              <w:start w:w="80" w:type="dxa"/>
              <w:bottom w:w="80" w:type="dxa"/>
              <w:end w:w="80" w:type="dxa"/>
            </w:tcMar>
          </w:tcPr>
          <w:p>
            <w:r>
              <w:rPr>
                <w:sz w:val="17"/>
              </w:rPr>
              <w:t>Phase 3 - Lifecycle and Software</w:t>
            </w:r>
          </w:p>
        </w:tc>
        <w:tc>
          <w:tcPr>
            <w:tcW w:type="dxa" w:w="4608"/>
            <w:vAlign w:val="top"/>
            <w:tcMar>
              <w:top w:w="80" w:type="dxa"/>
              <w:start w:w="80" w:type="dxa"/>
              <w:bottom w:w="80" w:type="dxa"/>
              <w:end w:w="80" w:type="dxa"/>
            </w:tcMar>
          </w:tcPr>
          <w:p>
            <w:r>
              <w:rPr>
                <w:sz w:val="17"/>
              </w:rPr>
              <w:t>ServiceNow asset, CMDB, request, change, software inventory, EOL/OOS, reconciliation.</w:t>
            </w:r>
          </w:p>
        </w:tc>
        <w:tc>
          <w:tcPr>
            <w:tcW w:type="dxa" w:w="4320"/>
            <w:vAlign w:val="top"/>
            <w:tcMar>
              <w:top w:w="80" w:type="dxa"/>
              <w:start w:w="80" w:type="dxa"/>
              <w:bottom w:w="80" w:type="dxa"/>
              <w:end w:w="80" w:type="dxa"/>
            </w:tcMar>
          </w:tcPr>
          <w:p>
            <w:r>
              <w:rPr>
                <w:sz w:val="17"/>
              </w:rPr>
              <w:t>Asset lifecycle and software lifecycle dashboards with ownership and exception tracking.</w:t>
            </w:r>
          </w:p>
        </w:tc>
      </w:tr>
      <w:tr>
        <w:tc>
          <w:tcPr>
            <w:tcW w:type="dxa" w:w="2304"/>
            <w:vAlign w:val="top"/>
            <w:tcMar>
              <w:top w:w="80" w:type="dxa"/>
              <w:start w:w="80" w:type="dxa"/>
              <w:bottom w:w="80" w:type="dxa"/>
              <w:end w:w="80" w:type="dxa"/>
            </w:tcMar>
          </w:tcPr>
          <w:p>
            <w:r>
              <w:rPr>
                <w:sz w:val="17"/>
              </w:rPr>
              <w:t>Phase 4 - Repository and RFI Automation</w:t>
            </w:r>
          </w:p>
        </w:tc>
        <w:tc>
          <w:tcPr>
            <w:tcW w:type="dxa" w:w="4608"/>
            <w:vAlign w:val="top"/>
            <w:tcMar>
              <w:top w:w="80" w:type="dxa"/>
              <w:start w:w="80" w:type="dxa"/>
              <w:bottom w:w="80" w:type="dxa"/>
              <w:end w:w="80" w:type="dxa"/>
            </w:tcMar>
          </w:tcPr>
          <w:p>
            <w:r>
              <w:rPr>
                <w:sz w:val="17"/>
              </w:rPr>
              <w:t>SharePoint design, document register, annual review, RFI catalog, approved evidence publication.</w:t>
            </w:r>
          </w:p>
        </w:tc>
        <w:tc>
          <w:tcPr>
            <w:tcW w:type="dxa" w:w="4320"/>
            <w:vAlign w:val="top"/>
            <w:tcMar>
              <w:top w:w="80" w:type="dxa"/>
              <w:start w:w="80" w:type="dxa"/>
              <w:bottom w:w="80" w:type="dxa"/>
              <w:end w:w="80" w:type="dxa"/>
            </w:tcMar>
          </w:tcPr>
          <w:p>
            <w:r>
              <w:rPr>
                <w:sz w:val="17"/>
              </w:rPr>
              <w:t>Central evidence repository, normalized audit responses, document governance dashboard.</w:t>
            </w:r>
          </w:p>
        </w:tc>
      </w:tr>
      <w:tr>
        <w:tc>
          <w:tcPr>
            <w:tcW w:type="dxa" w:w="2304"/>
            <w:vAlign w:val="top"/>
            <w:tcMar>
              <w:top w:w="80" w:type="dxa"/>
              <w:start w:w="80" w:type="dxa"/>
              <w:bottom w:w="80" w:type="dxa"/>
              <w:end w:w="80" w:type="dxa"/>
            </w:tcMar>
          </w:tcPr>
          <w:p>
            <w:r>
              <w:rPr>
                <w:sz w:val="17"/>
              </w:rPr>
              <w:t>Phase 5 - Operationalization</w:t>
            </w:r>
          </w:p>
        </w:tc>
        <w:tc>
          <w:tcPr>
            <w:tcW w:type="dxa" w:w="4608"/>
            <w:vAlign w:val="top"/>
            <w:tcMar>
              <w:top w:w="80" w:type="dxa"/>
              <w:start w:w="80" w:type="dxa"/>
              <w:bottom w:w="80" w:type="dxa"/>
              <w:end w:w="80" w:type="dxa"/>
            </w:tcMar>
          </w:tcPr>
          <w:p>
            <w:r>
              <w:rPr>
                <w:sz w:val="17"/>
              </w:rPr>
              <w:t>Alerts, RLS, deployment pipelines, support procedures, data quality monitoring, training.</w:t>
            </w:r>
          </w:p>
        </w:tc>
        <w:tc>
          <w:tcPr>
            <w:tcW w:type="dxa" w:w="4320"/>
            <w:vAlign w:val="top"/>
            <w:tcMar>
              <w:top w:w="80" w:type="dxa"/>
              <w:start w:w="80" w:type="dxa"/>
              <w:bottom w:w="80" w:type="dxa"/>
              <w:end w:w="80" w:type="dxa"/>
            </w:tcMar>
          </w:tcPr>
          <w:p>
            <w:r>
              <w:rPr>
                <w:sz w:val="17"/>
              </w:rPr>
              <w:t>Production operating model, certified dataset, repeatable controls, Fiserv self-service capability.</w:t>
            </w:r>
          </w:p>
        </w:tc>
      </w:tr>
    </w:tbl>
    <w:p>
      <w:pPr>
        <w:keepLines w:val="0"/>
      </w:pPr>
    </w:p>
    <w:p>
      <w:pPr>
        <w:pStyle w:val="Heading2"/>
        <w:keepLines w:val="0"/>
      </w:pPr>
      <w:r>
        <w:t>11.1 Recommended MVP Exit Criteria</w:t>
      </w:r>
    </w:p>
    <w:p>
      <w:pPr>
        <w:pStyle w:val="ListBullet"/>
        <w:keepLines w:val="0"/>
        <w:spacing w:after="40"/>
      </w:pPr>
      <w:r>
        <w:t>Device population reconciles to agreed authoritative sources within the approved tolerance.</w:t>
      </w:r>
    </w:p>
    <w:p>
      <w:pPr>
        <w:pStyle w:val="ListBullet"/>
        <w:keepLines w:val="0"/>
        <w:spacing w:after="40"/>
      </w:pPr>
      <w:r>
        <w:t>Configuration and encryption metrics have signed-off definitions and test cases.</w:t>
      </w:r>
    </w:p>
    <w:p>
      <w:pPr>
        <w:pStyle w:val="ListBullet"/>
        <w:keepLines w:val="0"/>
        <w:spacing w:after="40"/>
      </w:pPr>
      <w:r>
        <w:t>Historical snapshots can reproduce at least three prior reporting periods.</w:t>
      </w:r>
    </w:p>
    <w:p>
      <w:pPr>
        <w:pStyle w:val="ListBullet"/>
        <w:keepLines w:val="0"/>
        <w:spacing w:after="40"/>
      </w:pPr>
      <w:r>
        <w:t>Every non-compliant device is traceable to a source record and collection timestamp.</w:t>
      </w:r>
    </w:p>
    <w:p>
      <w:pPr>
        <w:pStyle w:val="ListBullet"/>
        <w:keepLines w:val="0"/>
        <w:spacing w:after="40"/>
      </w:pPr>
      <w:r>
        <w:t>Unknown and stale records are separately reported.</w:t>
      </w:r>
    </w:p>
    <w:p>
      <w:pPr>
        <w:pStyle w:val="ListBullet"/>
        <w:keepLines w:val="0"/>
        <w:spacing w:after="40"/>
      </w:pPr>
      <w:r>
        <w:t>An audit-ready detailed export can be generated using repeatable filters.</w:t>
      </w:r>
    </w:p>
    <w:p>
      <w:pPr>
        <w:pStyle w:val="ListBullet"/>
        <w:keepLines w:val="0"/>
        <w:spacing w:after="40"/>
      </w:pPr>
      <w:r>
        <w:t>Data refresh and failure status are visible to report support staff.</w:t>
      </w:r>
    </w:p>
    <w:p>
      <w:pPr>
        <w:pStyle w:val="ListBullet"/>
        <w:keepLines w:val="0"/>
        <w:spacing w:after="40"/>
      </w:pPr>
      <w:r>
        <w:t>Documentation covers source mapping, model, measures, refresh, security, and support.</w:t>
      </w:r>
    </w:p>
    <w:p>
      <w:pPr>
        <w:pStyle w:val="Heading1"/>
        <w:keepLines w:val="0"/>
      </w:pPr>
      <w:r>
        <w:t>12. Roles and Governance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shd w:fill="1F4E78"/>
            <w:vAlign w:val="center"/>
            <w:tcMar>
              <w:top w:w="80" w:type="dxa"/>
              <w:start w:w="80" w:type="dxa"/>
              <w:bottom w:w="80" w:type="dxa"/>
              <w:end w:w="80" w:type="dxa"/>
            </w:tcMar>
          </w:tcPr>
          <w:p>
            <w:pPr>
              <w:jc w:val="center"/>
            </w:pPr>
            <w:r>
              <w:rPr>
                <w:b/>
                <w:color w:val="FFFFFF"/>
                <w:sz w:val="18"/>
              </w:rPr>
              <w:t>Role</w:t>
            </w:r>
          </w:p>
        </w:tc>
        <w:tc>
          <w:tcPr>
            <w:tcW w:type="dxa" w:w="8496"/>
            <w:shd w:fill="1F4E78"/>
            <w:vAlign w:val="center"/>
            <w:tcMar>
              <w:top w:w="80" w:type="dxa"/>
              <w:start w:w="80" w:type="dxa"/>
              <w:bottom w:w="80" w:type="dxa"/>
              <w:end w:w="80" w:type="dxa"/>
            </w:tcMar>
          </w:tcPr>
          <w:p>
            <w:pPr>
              <w:jc w:val="center"/>
            </w:pPr>
            <w:r>
              <w:rPr>
                <w:b/>
                <w:color w:val="FFFFFF"/>
                <w:sz w:val="18"/>
              </w:rPr>
              <w:t>Responsibilities</w:t>
            </w:r>
          </w:p>
        </w:tc>
      </w:tr>
      <w:tr>
        <w:tc>
          <w:tcPr>
            <w:tcW w:type="dxa" w:w="2880"/>
            <w:vAlign w:val="top"/>
            <w:tcMar>
              <w:top w:w="80" w:type="dxa"/>
              <w:start w:w="80" w:type="dxa"/>
              <w:bottom w:w="80" w:type="dxa"/>
              <w:end w:w="80" w:type="dxa"/>
            </w:tcMar>
          </w:tcPr>
          <w:p>
            <w:r>
              <w:rPr>
                <w:sz w:val="17"/>
              </w:rPr>
              <w:t>EUC Product Owner</w:t>
            </w:r>
          </w:p>
        </w:tc>
        <w:tc>
          <w:tcPr>
            <w:tcW w:type="dxa" w:w="8496"/>
            <w:vAlign w:val="top"/>
            <w:tcMar>
              <w:top w:w="80" w:type="dxa"/>
              <w:start w:w="80" w:type="dxa"/>
              <w:bottom w:w="80" w:type="dxa"/>
              <w:end w:w="80" w:type="dxa"/>
            </w:tcMar>
          </w:tcPr>
          <w:p>
            <w:r>
              <w:rPr>
                <w:sz w:val="17"/>
              </w:rPr>
              <w:t>Prioritizes reporting use cases, approves scope, and owns business outcomes.</w:t>
            </w:r>
          </w:p>
        </w:tc>
      </w:tr>
      <w:tr>
        <w:tc>
          <w:tcPr>
            <w:tcW w:type="dxa" w:w="2880"/>
            <w:vAlign w:val="top"/>
            <w:tcMar>
              <w:top w:w="80" w:type="dxa"/>
              <w:start w:w="80" w:type="dxa"/>
              <w:bottom w:w="80" w:type="dxa"/>
              <w:end w:w="80" w:type="dxa"/>
            </w:tcMar>
          </w:tcPr>
          <w:p>
            <w:r>
              <w:rPr>
                <w:sz w:val="17"/>
              </w:rPr>
              <w:t>Control Owners</w:t>
            </w:r>
          </w:p>
        </w:tc>
        <w:tc>
          <w:tcPr>
            <w:tcW w:type="dxa" w:w="8496"/>
            <w:vAlign w:val="top"/>
            <w:tcMar>
              <w:top w:w="80" w:type="dxa"/>
              <w:start w:w="80" w:type="dxa"/>
              <w:bottom w:w="80" w:type="dxa"/>
              <w:end w:w="80" w:type="dxa"/>
            </w:tcMar>
          </w:tcPr>
          <w:p>
            <w:r>
              <w:rPr>
                <w:sz w:val="17"/>
              </w:rPr>
              <w:t>Define controls, thresholds, applicability, evidence requirements, and remediation SLA.</w:t>
            </w:r>
          </w:p>
        </w:tc>
      </w:tr>
      <w:tr>
        <w:tc>
          <w:tcPr>
            <w:tcW w:type="dxa" w:w="2880"/>
            <w:vAlign w:val="top"/>
            <w:tcMar>
              <w:top w:w="80" w:type="dxa"/>
              <w:start w:w="80" w:type="dxa"/>
              <w:bottom w:w="80" w:type="dxa"/>
              <w:end w:w="80" w:type="dxa"/>
            </w:tcMar>
          </w:tcPr>
          <w:p>
            <w:r>
              <w:rPr>
                <w:sz w:val="17"/>
              </w:rPr>
              <w:t>Source-System Owners</w:t>
            </w:r>
          </w:p>
        </w:tc>
        <w:tc>
          <w:tcPr>
            <w:tcW w:type="dxa" w:w="8496"/>
            <w:vAlign w:val="top"/>
            <w:tcMar>
              <w:top w:w="80" w:type="dxa"/>
              <w:start w:w="80" w:type="dxa"/>
              <w:bottom w:w="80" w:type="dxa"/>
              <w:end w:w="80" w:type="dxa"/>
            </w:tcMar>
          </w:tcPr>
          <w:p>
            <w:r>
              <w:rPr>
                <w:sz w:val="17"/>
              </w:rPr>
              <w:t>Approve access, explain source semantics, and resolve extraction issues.</w:t>
            </w:r>
          </w:p>
        </w:tc>
      </w:tr>
      <w:tr>
        <w:tc>
          <w:tcPr>
            <w:tcW w:type="dxa" w:w="2880"/>
            <w:vAlign w:val="top"/>
            <w:tcMar>
              <w:top w:w="80" w:type="dxa"/>
              <w:start w:w="80" w:type="dxa"/>
              <w:bottom w:w="80" w:type="dxa"/>
              <w:end w:w="80" w:type="dxa"/>
            </w:tcMar>
          </w:tcPr>
          <w:p>
            <w:r>
              <w:rPr>
                <w:sz w:val="17"/>
              </w:rPr>
              <w:t>Cyber Data Team</w:t>
            </w:r>
          </w:p>
        </w:tc>
        <w:tc>
          <w:tcPr>
            <w:tcW w:type="dxa" w:w="8496"/>
            <w:vAlign w:val="top"/>
            <w:tcMar>
              <w:top w:w="80" w:type="dxa"/>
              <w:start w:w="80" w:type="dxa"/>
              <w:bottom w:w="80" w:type="dxa"/>
              <w:end w:w="80" w:type="dxa"/>
            </w:tcMar>
          </w:tcPr>
          <w:p>
            <w:r>
              <w:rPr>
                <w:sz w:val="17"/>
              </w:rPr>
              <w:t>Operates ingestion, data lake, curated pipelines, retention, and data quality controls.</w:t>
            </w:r>
          </w:p>
        </w:tc>
      </w:tr>
      <w:tr>
        <w:tc>
          <w:tcPr>
            <w:tcW w:type="dxa" w:w="2880"/>
            <w:vAlign w:val="top"/>
            <w:tcMar>
              <w:top w:w="80" w:type="dxa"/>
              <w:start w:w="80" w:type="dxa"/>
              <w:bottom w:w="80" w:type="dxa"/>
              <w:end w:w="80" w:type="dxa"/>
            </w:tcMar>
          </w:tcPr>
          <w:p>
            <w:r>
              <w:rPr>
                <w:sz w:val="17"/>
              </w:rPr>
              <w:t>Reporting/Data Model Team</w:t>
            </w:r>
          </w:p>
        </w:tc>
        <w:tc>
          <w:tcPr>
            <w:tcW w:type="dxa" w:w="8496"/>
            <w:vAlign w:val="top"/>
            <w:tcMar>
              <w:top w:w="80" w:type="dxa"/>
              <w:start w:w="80" w:type="dxa"/>
              <w:bottom w:w="80" w:type="dxa"/>
              <w:end w:w="80" w:type="dxa"/>
            </w:tcMar>
          </w:tcPr>
          <w:p>
            <w:r>
              <w:rPr>
                <w:sz w:val="17"/>
              </w:rPr>
              <w:t>Designs schema, semantic model, measures, Power BI reports, and exports.</w:t>
            </w:r>
          </w:p>
        </w:tc>
      </w:tr>
      <w:tr>
        <w:tc>
          <w:tcPr>
            <w:tcW w:type="dxa" w:w="2880"/>
            <w:vAlign w:val="top"/>
            <w:tcMar>
              <w:top w:w="80" w:type="dxa"/>
              <w:start w:w="80" w:type="dxa"/>
              <w:bottom w:w="80" w:type="dxa"/>
              <w:end w:w="80" w:type="dxa"/>
            </w:tcMar>
          </w:tcPr>
          <w:p>
            <w:r>
              <w:rPr>
                <w:sz w:val="17"/>
              </w:rPr>
              <w:t>Audit and Risk Stakeholders</w:t>
            </w:r>
          </w:p>
        </w:tc>
        <w:tc>
          <w:tcPr>
            <w:tcW w:type="dxa" w:w="8496"/>
            <w:vAlign w:val="top"/>
            <w:tcMar>
              <w:top w:w="80" w:type="dxa"/>
              <w:start w:w="80" w:type="dxa"/>
              <w:bottom w:w="80" w:type="dxa"/>
              <w:end w:w="80" w:type="dxa"/>
            </w:tcMar>
          </w:tcPr>
          <w:p>
            <w:r>
              <w:rPr>
                <w:sz w:val="17"/>
              </w:rPr>
              <w:t>Validate evidence requirements, control mappings, retention, and response process.</w:t>
            </w:r>
          </w:p>
        </w:tc>
      </w:tr>
      <w:tr>
        <w:tc>
          <w:tcPr>
            <w:tcW w:type="dxa" w:w="2880"/>
            <w:vAlign w:val="top"/>
            <w:tcMar>
              <w:top w:w="80" w:type="dxa"/>
              <w:start w:w="80" w:type="dxa"/>
              <w:bottom w:w="80" w:type="dxa"/>
              <w:end w:w="80" w:type="dxa"/>
            </w:tcMar>
          </w:tcPr>
          <w:p>
            <w:r>
              <w:rPr>
                <w:sz w:val="17"/>
              </w:rPr>
              <w:t>SharePoint Repository Owner</w:t>
            </w:r>
          </w:p>
        </w:tc>
        <w:tc>
          <w:tcPr>
            <w:tcW w:type="dxa" w:w="8496"/>
            <w:vAlign w:val="top"/>
            <w:tcMar>
              <w:top w:w="80" w:type="dxa"/>
              <w:start w:w="80" w:type="dxa"/>
              <w:bottom w:w="80" w:type="dxa"/>
              <w:end w:w="80" w:type="dxa"/>
            </w:tcMar>
          </w:tcPr>
          <w:p>
            <w:r>
              <w:rPr>
                <w:sz w:val="17"/>
              </w:rPr>
              <w:t>Maintains information architecture, metadata, permissions, review workflows, and retention.</w:t>
            </w:r>
          </w:p>
        </w:tc>
      </w:tr>
      <w:tr>
        <w:tc>
          <w:tcPr>
            <w:tcW w:type="dxa" w:w="2880"/>
            <w:vAlign w:val="top"/>
            <w:tcMar>
              <w:top w:w="80" w:type="dxa"/>
              <w:start w:w="80" w:type="dxa"/>
              <w:bottom w:w="80" w:type="dxa"/>
              <w:end w:w="80" w:type="dxa"/>
            </w:tcMar>
          </w:tcPr>
          <w:p>
            <w:r>
              <w:rPr>
                <w:sz w:val="17"/>
              </w:rPr>
              <w:t>Data Stewards</w:t>
            </w:r>
          </w:p>
        </w:tc>
        <w:tc>
          <w:tcPr>
            <w:tcW w:type="dxa" w:w="8496"/>
            <w:vAlign w:val="top"/>
            <w:tcMar>
              <w:top w:w="80" w:type="dxa"/>
              <w:start w:w="80" w:type="dxa"/>
              <w:bottom w:w="80" w:type="dxa"/>
              <w:end w:w="80" w:type="dxa"/>
            </w:tcMar>
          </w:tcPr>
          <w:p>
            <w:r>
              <w:rPr>
                <w:sz w:val="17"/>
              </w:rPr>
              <w:t>Resolve identity conflicts, ownership gaps, unmatched records, and reference-data issues.</w:t>
            </w:r>
          </w:p>
        </w:tc>
      </w:tr>
      <w:tr>
        <w:tc>
          <w:tcPr>
            <w:tcW w:type="dxa" w:w="2880"/>
            <w:vAlign w:val="top"/>
            <w:tcMar>
              <w:top w:w="80" w:type="dxa"/>
              <w:start w:w="80" w:type="dxa"/>
              <w:bottom w:w="80" w:type="dxa"/>
              <w:end w:w="80" w:type="dxa"/>
            </w:tcMar>
          </w:tcPr>
          <w:p>
            <w:r>
              <w:rPr>
                <w:sz w:val="17"/>
              </w:rPr>
              <w:t>Platform Support</w:t>
            </w:r>
          </w:p>
        </w:tc>
        <w:tc>
          <w:tcPr>
            <w:tcW w:type="dxa" w:w="8496"/>
            <w:vAlign w:val="top"/>
            <w:tcMar>
              <w:top w:w="80" w:type="dxa"/>
              <w:start w:w="80" w:type="dxa"/>
              <w:bottom w:w="80" w:type="dxa"/>
              <w:end w:w="80" w:type="dxa"/>
            </w:tcMar>
          </w:tcPr>
          <w:p>
            <w:r>
              <w:rPr>
                <w:sz w:val="17"/>
              </w:rPr>
              <w:t>Operates refresh, deployment, monitoring, incident response, and release management.</w:t>
            </w:r>
          </w:p>
        </w:tc>
      </w:tr>
    </w:tbl>
    <w:p>
      <w:pPr>
        <w:keepLines w:val="0"/>
      </w:pPr>
    </w:p>
    <w:p>
      <w:pPr>
        <w:pStyle w:val="Heading2"/>
        <w:keepLines w:val="0"/>
      </w:pPr>
      <w:r>
        <w:t>12.1 Governance Cadence</w:t>
      </w:r>
    </w:p>
    <w:p>
      <w:pPr>
        <w:pStyle w:val="ListBullet"/>
        <w:keepLines w:val="0"/>
        <w:spacing w:after="40"/>
      </w:pPr>
      <w:r>
        <w:t>Weekly implementation working session during delivery.</w:t>
      </w:r>
    </w:p>
    <w:p>
      <w:pPr>
        <w:pStyle w:val="ListBullet"/>
        <w:keepLines w:val="0"/>
        <w:spacing w:after="40"/>
      </w:pPr>
      <w:r>
        <w:t>Monthly control-definition and data-quality review.</w:t>
      </w:r>
    </w:p>
    <w:p>
      <w:pPr>
        <w:pStyle w:val="ListBullet"/>
        <w:keepLines w:val="0"/>
        <w:spacing w:after="40"/>
      </w:pPr>
      <w:r>
        <w:t>Monthly evidence publication and approval cycle.</w:t>
      </w:r>
    </w:p>
    <w:p>
      <w:pPr>
        <w:pStyle w:val="ListBullet"/>
        <w:keepLines w:val="0"/>
        <w:spacing w:after="40"/>
      </w:pPr>
      <w:r>
        <w:t>Quarterly architecture, security, and access review.</w:t>
      </w:r>
    </w:p>
    <w:p>
      <w:pPr>
        <w:pStyle w:val="ListBullet"/>
        <w:keepLines w:val="0"/>
        <w:spacing w:after="40"/>
      </w:pPr>
      <w:r>
        <w:t>Annual control, document, retention, and RFI catalog certification.</w:t>
      </w:r>
    </w:p>
    <w:p>
      <w:pPr>
        <w:pStyle w:val="Heading1"/>
        <w:keepLines w:val="0"/>
      </w:pPr>
      <w:r>
        <w:t>13. Risks and Mitigations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024"/>
            <w:shd w:fill="1F4E78"/>
            <w:vAlign w:val="center"/>
            <w:tcMar>
              <w:top w:w="80" w:type="dxa"/>
              <w:start w:w="80" w:type="dxa"/>
              <w:bottom w:w="80" w:type="dxa"/>
              <w:end w:w="80" w:type="dxa"/>
            </w:tcMar>
          </w:tcPr>
          <w:p>
            <w:pPr>
              <w:jc w:val="center"/>
            </w:pPr>
            <w:r>
              <w:rPr>
                <w:b/>
                <w:color w:val="FFFFFF"/>
                <w:sz w:val="18"/>
              </w:rPr>
              <w:t>Risk</w:t>
            </w:r>
          </w:p>
        </w:tc>
        <w:tc>
          <w:tcPr>
            <w:tcW w:type="dxa" w:w="3168"/>
            <w:shd w:fill="1F4E78"/>
            <w:vAlign w:val="center"/>
            <w:tcMar>
              <w:top w:w="80" w:type="dxa"/>
              <w:start w:w="80" w:type="dxa"/>
              <w:bottom w:w="80" w:type="dxa"/>
              <w:end w:w="80" w:type="dxa"/>
            </w:tcMar>
          </w:tcPr>
          <w:p>
            <w:pPr>
              <w:jc w:val="center"/>
            </w:pPr>
            <w:r>
              <w:rPr>
                <w:b/>
                <w:color w:val="FFFFFF"/>
                <w:sz w:val="18"/>
              </w:rPr>
              <w:t>Impact</w:t>
            </w:r>
          </w:p>
        </w:tc>
        <w:tc>
          <w:tcPr>
            <w:tcW w:type="dxa" w:w="5184"/>
            <w:shd w:fill="1F4E78"/>
            <w:vAlign w:val="center"/>
            <w:tcMar>
              <w:top w:w="80" w:type="dxa"/>
              <w:start w:w="80" w:type="dxa"/>
              <w:bottom w:w="80" w:type="dxa"/>
              <w:end w:w="80" w:type="dxa"/>
            </w:tcMar>
          </w:tcPr>
          <w:p>
            <w:pPr>
              <w:jc w:val="center"/>
            </w:pPr>
            <w:r>
              <w:rPr>
                <w:b/>
                <w:color w:val="FFFFFF"/>
                <w:sz w:val="18"/>
              </w:rPr>
              <w:t>Mitigation</w:t>
            </w:r>
          </w:p>
        </w:tc>
      </w:tr>
      <w:tr>
        <w:tc>
          <w:tcPr>
            <w:tcW w:type="dxa" w:w="3024"/>
            <w:vAlign w:val="top"/>
            <w:tcMar>
              <w:top w:w="80" w:type="dxa"/>
              <w:start w:w="80" w:type="dxa"/>
              <w:bottom w:w="80" w:type="dxa"/>
              <w:end w:w="80" w:type="dxa"/>
            </w:tcMar>
          </w:tcPr>
          <w:p>
            <w:r>
              <w:rPr>
                <w:sz w:val="17"/>
              </w:rPr>
              <w:t>Cyber data lake does not contain required fields</w:t>
            </w:r>
          </w:p>
        </w:tc>
        <w:tc>
          <w:tcPr>
            <w:tcW w:type="dxa" w:w="3168"/>
            <w:vAlign w:val="top"/>
            <w:tcMar>
              <w:top w:w="80" w:type="dxa"/>
              <w:start w:w="80" w:type="dxa"/>
              <w:bottom w:w="80" w:type="dxa"/>
              <w:end w:w="80" w:type="dxa"/>
            </w:tcMar>
          </w:tcPr>
          <w:p>
            <w:r>
              <w:rPr>
                <w:sz w:val="17"/>
              </w:rPr>
              <w:t>Dashboard or control cannot be completed as designed.</w:t>
            </w:r>
          </w:p>
        </w:tc>
        <w:tc>
          <w:tcPr>
            <w:tcW w:type="dxa" w:w="5184"/>
            <w:vAlign w:val="top"/>
            <w:tcMar>
              <w:top w:w="80" w:type="dxa"/>
              <w:start w:w="80" w:type="dxa"/>
              <w:bottom w:w="80" w:type="dxa"/>
              <w:end w:w="80" w:type="dxa"/>
            </w:tcMar>
          </w:tcPr>
          <w:p>
            <w:r>
              <w:rPr>
                <w:sz w:val="17"/>
              </w:rPr>
              <w:t>Perform source-to-requirement mapping early; define supplements and formally track data gaps.</w:t>
            </w:r>
          </w:p>
        </w:tc>
      </w:tr>
      <w:tr>
        <w:tc>
          <w:tcPr>
            <w:tcW w:type="dxa" w:w="3024"/>
            <w:vAlign w:val="top"/>
            <w:tcMar>
              <w:top w:w="80" w:type="dxa"/>
              <w:start w:w="80" w:type="dxa"/>
              <w:bottom w:w="80" w:type="dxa"/>
              <w:end w:w="80" w:type="dxa"/>
            </w:tcMar>
          </w:tcPr>
          <w:p>
            <w:r>
              <w:rPr>
                <w:sz w:val="17"/>
              </w:rPr>
              <w:t>Conflicting device identities</w:t>
            </w:r>
          </w:p>
        </w:tc>
        <w:tc>
          <w:tcPr>
            <w:tcW w:type="dxa" w:w="3168"/>
            <w:vAlign w:val="top"/>
            <w:tcMar>
              <w:top w:w="80" w:type="dxa"/>
              <w:start w:w="80" w:type="dxa"/>
              <w:bottom w:w="80" w:type="dxa"/>
              <w:end w:w="80" w:type="dxa"/>
            </w:tcMar>
          </w:tcPr>
          <w:p>
            <w:r>
              <w:rPr>
                <w:sz w:val="17"/>
              </w:rPr>
              <w:t>Incorrect population and duplicated or missing compliance results.</w:t>
            </w:r>
          </w:p>
        </w:tc>
        <w:tc>
          <w:tcPr>
            <w:tcW w:type="dxa" w:w="5184"/>
            <w:vAlign w:val="top"/>
            <w:tcMar>
              <w:top w:w="80" w:type="dxa"/>
              <w:start w:w="80" w:type="dxa"/>
              <w:bottom w:w="80" w:type="dxa"/>
              <w:end w:w="80" w:type="dxa"/>
            </w:tcMar>
          </w:tcPr>
          <w:p>
            <w:r>
              <w:rPr>
                <w:sz w:val="17"/>
              </w:rPr>
              <w:t>Implement identity bridge, confidence scoring, reconciliation, and stewardship workflow.</w:t>
            </w:r>
          </w:p>
        </w:tc>
      </w:tr>
      <w:tr>
        <w:tc>
          <w:tcPr>
            <w:tcW w:type="dxa" w:w="3024"/>
            <w:vAlign w:val="top"/>
            <w:tcMar>
              <w:top w:w="80" w:type="dxa"/>
              <w:start w:w="80" w:type="dxa"/>
              <w:bottom w:w="80" w:type="dxa"/>
              <w:end w:w="80" w:type="dxa"/>
            </w:tcMar>
          </w:tcPr>
          <w:p>
            <w:r>
              <w:rPr>
                <w:sz w:val="17"/>
              </w:rPr>
              <w:t>Current-state sources lack history</w:t>
            </w:r>
          </w:p>
        </w:tc>
        <w:tc>
          <w:tcPr>
            <w:tcW w:type="dxa" w:w="3168"/>
            <w:vAlign w:val="top"/>
            <w:tcMar>
              <w:top w:w="80" w:type="dxa"/>
              <w:start w:w="80" w:type="dxa"/>
              <w:bottom w:w="80" w:type="dxa"/>
              <w:end w:w="80" w:type="dxa"/>
            </w:tcMar>
          </w:tcPr>
          <w:p>
            <w:r>
              <w:rPr>
                <w:sz w:val="17"/>
              </w:rPr>
              <w:t>Prior audit evidence cannot be reproduced.</w:t>
            </w:r>
          </w:p>
        </w:tc>
        <w:tc>
          <w:tcPr>
            <w:tcW w:type="dxa" w:w="5184"/>
            <w:vAlign w:val="top"/>
            <w:tcMar>
              <w:top w:w="80" w:type="dxa"/>
              <w:start w:w="80" w:type="dxa"/>
              <w:bottom w:w="80" w:type="dxa"/>
              <w:end w:w="80" w:type="dxa"/>
            </w:tcMar>
          </w:tcPr>
          <w:p>
            <w:r>
              <w:rPr>
                <w:sz w:val="17"/>
              </w:rPr>
              <w:t>Begin scheduled snapshot retention before dashboard completion.</w:t>
            </w:r>
          </w:p>
        </w:tc>
      </w:tr>
      <w:tr>
        <w:tc>
          <w:tcPr>
            <w:tcW w:type="dxa" w:w="3024"/>
            <w:vAlign w:val="top"/>
            <w:tcMar>
              <w:top w:w="80" w:type="dxa"/>
              <w:start w:w="80" w:type="dxa"/>
              <w:bottom w:w="80" w:type="dxa"/>
              <w:end w:w="80" w:type="dxa"/>
            </w:tcMar>
          </w:tcPr>
          <w:p>
            <w:r>
              <w:rPr>
                <w:sz w:val="17"/>
              </w:rPr>
              <w:t>Control definitions are ambiguous</w:t>
            </w:r>
          </w:p>
        </w:tc>
        <w:tc>
          <w:tcPr>
            <w:tcW w:type="dxa" w:w="3168"/>
            <w:vAlign w:val="top"/>
            <w:tcMar>
              <w:top w:w="80" w:type="dxa"/>
              <w:start w:w="80" w:type="dxa"/>
              <w:bottom w:w="80" w:type="dxa"/>
              <w:end w:w="80" w:type="dxa"/>
            </w:tcMar>
          </w:tcPr>
          <w:p>
            <w:r>
              <w:rPr>
                <w:sz w:val="17"/>
              </w:rPr>
              <w:t>Stakeholders disagree with results and audit evidence is challenged.</w:t>
            </w:r>
          </w:p>
        </w:tc>
        <w:tc>
          <w:tcPr>
            <w:tcW w:type="dxa" w:w="5184"/>
            <w:vAlign w:val="top"/>
            <w:tcMar>
              <w:top w:w="80" w:type="dxa"/>
              <w:start w:w="80" w:type="dxa"/>
              <w:bottom w:w="80" w:type="dxa"/>
              <w:end w:w="80" w:type="dxa"/>
            </w:tcMar>
          </w:tcPr>
          <w:p>
            <w:r>
              <w:rPr>
                <w:sz w:val="17"/>
              </w:rPr>
              <w:t>Create signed-off definitions, applicability rules, examples, and test cases.</w:t>
            </w:r>
          </w:p>
        </w:tc>
      </w:tr>
      <w:tr>
        <w:tc>
          <w:tcPr>
            <w:tcW w:type="dxa" w:w="3024"/>
            <w:vAlign w:val="top"/>
            <w:tcMar>
              <w:top w:w="80" w:type="dxa"/>
              <w:start w:w="80" w:type="dxa"/>
              <w:bottom w:w="80" w:type="dxa"/>
              <w:end w:w="80" w:type="dxa"/>
            </w:tcMar>
          </w:tcPr>
          <w:p>
            <w:r>
              <w:rPr>
                <w:sz w:val="17"/>
              </w:rPr>
              <w:t>Logic is embedded only in Power BI</w:t>
            </w:r>
          </w:p>
        </w:tc>
        <w:tc>
          <w:tcPr>
            <w:tcW w:type="dxa" w:w="3168"/>
            <w:vAlign w:val="top"/>
            <w:tcMar>
              <w:top w:w="80" w:type="dxa"/>
              <w:start w:w="80" w:type="dxa"/>
              <w:bottom w:w="80" w:type="dxa"/>
              <w:end w:w="80" w:type="dxa"/>
            </w:tcMar>
          </w:tcPr>
          <w:p>
            <w:r>
              <w:rPr>
                <w:sz w:val="17"/>
              </w:rPr>
              <w:t>Rules become difficult to reuse, test, and audit.</w:t>
            </w:r>
          </w:p>
        </w:tc>
        <w:tc>
          <w:tcPr>
            <w:tcW w:type="dxa" w:w="5184"/>
            <w:vAlign w:val="top"/>
            <w:tcMar>
              <w:top w:w="80" w:type="dxa"/>
              <w:start w:w="80" w:type="dxa"/>
              <w:bottom w:w="80" w:type="dxa"/>
              <w:end w:w="80" w:type="dxa"/>
            </w:tcMar>
          </w:tcPr>
          <w:p>
            <w:r>
              <w:rPr>
                <w:sz w:val="17"/>
              </w:rPr>
              <w:t>Place core compliance evaluation in the curated layer or governed metadata framework.</w:t>
            </w:r>
          </w:p>
        </w:tc>
      </w:tr>
      <w:tr>
        <w:tc>
          <w:tcPr>
            <w:tcW w:type="dxa" w:w="3024"/>
            <w:vAlign w:val="top"/>
            <w:tcMar>
              <w:top w:w="80" w:type="dxa"/>
              <w:start w:w="80" w:type="dxa"/>
              <w:bottom w:w="80" w:type="dxa"/>
              <w:end w:w="80" w:type="dxa"/>
            </w:tcMar>
          </w:tcPr>
          <w:p>
            <w:r>
              <w:rPr>
                <w:sz w:val="17"/>
              </w:rPr>
              <w:t>Missing data appears compliant</w:t>
            </w:r>
          </w:p>
        </w:tc>
        <w:tc>
          <w:tcPr>
            <w:tcW w:type="dxa" w:w="3168"/>
            <w:vAlign w:val="top"/>
            <w:tcMar>
              <w:top w:w="80" w:type="dxa"/>
              <w:start w:w="80" w:type="dxa"/>
              <w:bottom w:w="80" w:type="dxa"/>
              <w:end w:w="80" w:type="dxa"/>
            </w:tcMar>
          </w:tcPr>
          <w:p>
            <w:r>
              <w:rPr>
                <w:sz w:val="17"/>
              </w:rPr>
              <w:t>Compliance is overstated.</w:t>
            </w:r>
          </w:p>
        </w:tc>
        <w:tc>
          <w:tcPr>
            <w:tcW w:type="dxa" w:w="5184"/>
            <w:vAlign w:val="top"/>
            <w:tcMar>
              <w:top w:w="80" w:type="dxa"/>
              <w:start w:w="80" w:type="dxa"/>
              <w:bottom w:w="80" w:type="dxa"/>
              <w:end w:w="80" w:type="dxa"/>
            </w:tcMar>
          </w:tcPr>
          <w:p>
            <w:r>
              <w:rPr>
                <w:sz w:val="17"/>
              </w:rPr>
              <w:t>Use explicit unknown and stale statuses plus evaluation coverage metrics.</w:t>
            </w:r>
          </w:p>
        </w:tc>
      </w:tr>
      <w:tr>
        <w:tc>
          <w:tcPr>
            <w:tcW w:type="dxa" w:w="3024"/>
            <w:vAlign w:val="top"/>
            <w:tcMar>
              <w:top w:w="80" w:type="dxa"/>
              <w:start w:w="80" w:type="dxa"/>
              <w:bottom w:w="80" w:type="dxa"/>
              <w:end w:w="80" w:type="dxa"/>
            </w:tcMar>
          </w:tcPr>
          <w:p>
            <w:r>
              <w:rPr>
                <w:sz w:val="17"/>
              </w:rPr>
              <w:t>Broad access exposes sensitive endpoint data</w:t>
            </w:r>
          </w:p>
        </w:tc>
        <w:tc>
          <w:tcPr>
            <w:tcW w:type="dxa" w:w="3168"/>
            <w:vAlign w:val="top"/>
            <w:tcMar>
              <w:top w:w="80" w:type="dxa"/>
              <w:start w:w="80" w:type="dxa"/>
              <w:bottom w:w="80" w:type="dxa"/>
              <w:end w:w="80" w:type="dxa"/>
            </w:tcMar>
          </w:tcPr>
          <w:p>
            <w:r>
              <w:rPr>
                <w:sz w:val="17"/>
              </w:rPr>
              <w:t>Security and privacy concern.</w:t>
            </w:r>
          </w:p>
        </w:tc>
        <w:tc>
          <w:tcPr>
            <w:tcW w:type="dxa" w:w="5184"/>
            <w:vAlign w:val="top"/>
            <w:tcMar>
              <w:top w:w="80" w:type="dxa"/>
              <w:start w:w="80" w:type="dxa"/>
              <w:bottom w:w="80" w:type="dxa"/>
              <w:end w:w="80" w:type="dxa"/>
            </w:tcMar>
          </w:tcPr>
          <w:p>
            <w:r>
              <w:rPr>
                <w:sz w:val="17"/>
              </w:rPr>
              <w:t>Use RLS, least privilege, sensitivity labels, and export controls.</w:t>
            </w:r>
          </w:p>
        </w:tc>
      </w:tr>
      <w:tr>
        <w:tc>
          <w:tcPr>
            <w:tcW w:type="dxa" w:w="3024"/>
            <w:vAlign w:val="top"/>
            <w:tcMar>
              <w:top w:w="80" w:type="dxa"/>
              <w:start w:w="80" w:type="dxa"/>
              <w:bottom w:w="80" w:type="dxa"/>
              <w:end w:w="80" w:type="dxa"/>
            </w:tcMar>
          </w:tcPr>
          <w:p>
            <w:r>
              <w:rPr>
                <w:sz w:val="17"/>
              </w:rPr>
              <w:t>Repository becomes an unmanaged file share</w:t>
            </w:r>
          </w:p>
        </w:tc>
        <w:tc>
          <w:tcPr>
            <w:tcW w:type="dxa" w:w="3168"/>
            <w:vAlign w:val="top"/>
            <w:tcMar>
              <w:top w:w="80" w:type="dxa"/>
              <w:start w:w="80" w:type="dxa"/>
              <w:bottom w:w="80" w:type="dxa"/>
              <w:end w:w="80" w:type="dxa"/>
            </w:tcMar>
          </w:tcPr>
          <w:p>
            <w:r>
              <w:rPr>
                <w:sz w:val="17"/>
              </w:rPr>
              <w:t>Evidence is difficult to find and review.</w:t>
            </w:r>
          </w:p>
        </w:tc>
        <w:tc>
          <w:tcPr>
            <w:tcW w:type="dxa" w:w="5184"/>
            <w:vAlign w:val="top"/>
            <w:tcMar>
              <w:top w:w="80" w:type="dxa"/>
              <w:start w:w="80" w:type="dxa"/>
              <w:bottom w:w="80" w:type="dxa"/>
              <w:end w:w="80" w:type="dxa"/>
            </w:tcMar>
          </w:tcPr>
          <w:p>
            <w:r>
              <w:rPr>
                <w:sz w:val="17"/>
              </w:rPr>
              <w:t>Use metadata, content types, ownership, review workflow, retention, and dashboards.</w:t>
            </w:r>
          </w:p>
        </w:tc>
      </w:tr>
      <w:tr>
        <w:tc>
          <w:tcPr>
            <w:tcW w:type="dxa" w:w="3024"/>
            <w:vAlign w:val="top"/>
            <w:tcMar>
              <w:top w:w="80" w:type="dxa"/>
              <w:start w:w="80" w:type="dxa"/>
              <w:bottom w:w="80" w:type="dxa"/>
              <w:end w:w="80" w:type="dxa"/>
            </w:tcMar>
          </w:tcPr>
          <w:p>
            <w:r>
              <w:rPr>
                <w:sz w:val="17"/>
              </w:rPr>
              <w:t>One-off audit requests continue</w:t>
            </w:r>
          </w:p>
        </w:tc>
        <w:tc>
          <w:tcPr>
            <w:tcW w:type="dxa" w:w="3168"/>
            <w:vAlign w:val="top"/>
            <w:tcMar>
              <w:top w:w="80" w:type="dxa"/>
              <w:start w:w="80" w:type="dxa"/>
              <w:bottom w:w="80" w:type="dxa"/>
              <w:end w:w="80" w:type="dxa"/>
            </w:tcMar>
          </w:tcPr>
          <w:p>
            <w:r>
              <w:rPr>
                <w:sz w:val="17"/>
              </w:rPr>
              <w:t>Manual effort remains high.</w:t>
            </w:r>
          </w:p>
        </w:tc>
        <w:tc>
          <w:tcPr>
            <w:tcW w:type="dxa" w:w="5184"/>
            <w:vAlign w:val="top"/>
            <w:tcMar>
              <w:top w:w="80" w:type="dxa"/>
              <w:start w:w="80" w:type="dxa"/>
              <w:bottom w:w="80" w:type="dxa"/>
              <w:end w:w="80" w:type="dxa"/>
            </w:tcMar>
          </w:tcPr>
          <w:p>
            <w:r>
              <w:rPr>
                <w:sz w:val="17"/>
              </w:rPr>
              <w:t>Maintain RFI catalog, standard reports, approved evidence templates, and automation backlog.</w:t>
            </w:r>
          </w:p>
        </w:tc>
      </w:tr>
    </w:tbl>
    <w:p>
      <w:pPr>
        <w:keepLines w:val="0"/>
      </w:pPr>
    </w:p>
    <w:p>
      <w:pPr>
        <w:pStyle w:val="Heading1"/>
        <w:keepLines w:val="0"/>
      </w:pPr>
      <w:r>
        <w:t>14. Success Criteria and Recommended Next Steps</w:t>
      </w:r>
    </w:p>
    <w:p>
      <w:pPr>
        <w:pStyle w:val="Heading2"/>
        <w:keepLines w:val="0"/>
      </w:pPr>
      <w:r>
        <w:t>14.1 Success Criteria</w:t>
      </w:r>
    </w:p>
    <w:p>
      <w:pPr>
        <w:pStyle w:val="ListBullet"/>
        <w:keepLines w:val="0"/>
        <w:spacing w:after="40"/>
      </w:pPr>
      <w:r>
        <w:t>Automated, repeatable evidence generation replaces recurring manual data collection.</w:t>
      </w:r>
    </w:p>
    <w:p>
      <w:pPr>
        <w:pStyle w:val="ListBullet"/>
        <w:keepLines w:val="0"/>
        <w:spacing w:after="40"/>
      </w:pPr>
      <w:r>
        <w:t>Report totals reconcile to authoritative sources and are supported by documented tolerances.</w:t>
      </w:r>
    </w:p>
    <w:p>
      <w:pPr>
        <w:pStyle w:val="ListBullet"/>
        <w:keepLines w:val="0"/>
        <w:spacing w:after="40"/>
      </w:pPr>
      <w:r>
        <w:t>Historical results can be reproduced using retained snapshots and versioned control logic.</w:t>
      </w:r>
    </w:p>
    <w:p>
      <w:pPr>
        <w:pStyle w:val="ListBullet"/>
        <w:keepLines w:val="0"/>
        <w:spacing w:after="40"/>
      </w:pPr>
      <w:r>
        <w:t>Fiserv report owners can add, modify, or retire controls through a governed framework.</w:t>
      </w:r>
    </w:p>
    <w:p>
      <w:pPr>
        <w:pStyle w:val="ListBullet"/>
        <w:keepLines w:val="0"/>
        <w:spacing w:after="40"/>
      </w:pPr>
      <w:r>
        <w:t>Exceptions, remediation ownership, expiration, and risk records are integrated into reporting.</w:t>
      </w:r>
    </w:p>
    <w:p>
      <w:pPr>
        <w:pStyle w:val="ListBullet"/>
        <w:keepLines w:val="0"/>
        <w:spacing w:after="40"/>
      </w:pPr>
      <w:r>
        <w:t>Device, software, lifecycle, and evidence data use common dimensions and definitions.</w:t>
      </w:r>
    </w:p>
    <w:p>
      <w:pPr>
        <w:pStyle w:val="ListBullet"/>
        <w:keepLines w:val="0"/>
        <w:spacing w:after="40"/>
      </w:pPr>
      <w:r>
        <w:t>Data quality, refresh status, and source coverage are transparent.</w:t>
      </w:r>
    </w:p>
    <w:p>
      <w:pPr>
        <w:pStyle w:val="ListBullet"/>
        <w:keepLines w:val="0"/>
        <w:spacing w:after="40"/>
      </w:pPr>
      <w:r>
        <w:t>Audit requests map to a normalized RFI catalog and standard evidence package.</w:t>
      </w:r>
    </w:p>
    <w:p>
      <w:pPr>
        <w:pStyle w:val="ListBullet"/>
        <w:keepLines w:val="0"/>
        <w:spacing w:after="40"/>
      </w:pPr>
      <w:r>
        <w:t>Power BI dashboards, paginated reports, CSV exports, and SharePoint evidence records use consistent definitions.</w:t>
      </w:r>
    </w:p>
    <w:p>
      <w:pPr>
        <w:pStyle w:val="Heading2"/>
        <w:keepLines w:val="0"/>
      </w:pPr>
      <w:r>
        <w:t>14.2 Immediate Next Steps</w:t>
      </w:r>
    </w:p>
    <w:p>
      <w:pPr>
        <w:pStyle w:val="ListNumber"/>
        <w:keepLines w:val="0"/>
        <w:spacing w:after="60"/>
      </w:pPr>
      <w:r>
        <w:t>Confirm Phase 1 control inventory, dashboard audience, and formal evidence requirements.</w:t>
      </w:r>
    </w:p>
    <w:p>
      <w:pPr>
        <w:pStyle w:val="ListNumber"/>
        <w:keepLines w:val="0"/>
        <w:spacing w:after="60"/>
      </w:pPr>
      <w:r>
        <w:t>Complete a source-to-field assessment against Intune, JAMF, CrowdStrike, Tanium, Tenable, ServiceNow, and the Cyber data lake.</w:t>
      </w:r>
    </w:p>
    <w:p>
      <w:pPr>
        <w:pStyle w:val="ListNumber"/>
        <w:keepLines w:val="0"/>
        <w:spacing w:after="60"/>
      </w:pPr>
      <w:r>
        <w:t>Approve the canonical device identity and source precedence rules.</w:t>
      </w:r>
    </w:p>
    <w:p>
      <w:pPr>
        <w:pStyle w:val="ListNumber"/>
        <w:keepLines w:val="0"/>
        <w:spacing w:after="60"/>
      </w:pPr>
      <w:r>
        <w:t>Approve the core schema, snapshot frequency, retention period, and compliance status model.</w:t>
      </w:r>
    </w:p>
    <w:p>
      <w:pPr>
        <w:pStyle w:val="ListNumber"/>
        <w:keepLines w:val="0"/>
        <w:spacing w:after="60"/>
      </w:pPr>
      <w:r>
        <w:t>Load the provided CSV mock data into Power BI and validate the proposed semantic model and dashboard wireframes.</w:t>
      </w:r>
    </w:p>
    <w:p>
      <w:pPr>
        <w:pStyle w:val="ListNumber"/>
        <w:keepLines w:val="0"/>
        <w:spacing w:after="60"/>
      </w:pPr>
      <w:r>
        <w:t>Define production access, service identities, workspace structure, RLS, and deployment process.</w:t>
      </w:r>
    </w:p>
    <w:p>
      <w:pPr>
        <w:pStyle w:val="ListNumber"/>
        <w:keepLines w:val="0"/>
        <w:spacing w:after="60"/>
      </w:pPr>
      <w:r>
        <w:t>Build the device/configuration MVP and conduct metric reconciliation with source-system owners.</w:t>
      </w:r>
    </w:p>
    <w:p>
      <w:pPr>
        <w:pStyle w:val="ListNumber"/>
        <w:keepLines w:val="0"/>
        <w:spacing w:after="60"/>
      </w:pPr>
      <w:r>
        <w:t>Establish the SharePoint repository structure and RFI catalog in parallel with dashboard delivery.</w:t>
      </w:r>
    </w:p>
    <w:tbl>
      <w:tblPr>
        <w:tblW w:type="auto" w:w="0"/>
        <w:jc w:val="center"/>
        <w:tblLook w:firstColumn="1" w:firstRow="1" w:lastColumn="0" w:lastRow="0" w:noHBand="0" w:noVBand="1" w:val="04A0"/>
      </w:tblPr>
      <w:tblGrid>
        <w:gridCol w:w="10080"/>
      </w:tblGrid>
      <w:tr>
        <w:tc>
          <w:tcPr>
            <w:tcW w:type="dxa" w:w="10080"/>
            <w:shd w:fill="EAF2F8"/>
            <w:tcMar>
              <w:top w:w="120" w:type="dxa"/>
              <w:start w:w="140" w:type="dxa"/>
              <w:bottom w:w="120" w:type="dxa"/>
              <w:end w:w="140" w:type="dxa"/>
            </w:tcMar>
          </w:tcPr>
          <w:p>
            <w:r>
              <w:rPr>
                <w:b/>
                <w:color w:val="1F4E78"/>
              </w:rPr>
              <w:t>Final recommendation</w:t>
              <w:br/>
            </w:r>
            <w:r>
              <w:t>Begin with the data foundation, identity correlation, and signed-off control definitions. Dashboard development should proceed in parallel only after these elements are sufficiently stable to prevent rework and inconsistent audit results.</w:t>
            </w:r>
          </w:p>
        </w:tc>
      </w:tr>
    </w:tbl>
    <w:p>
      <w:pPr>
        <w:keepLines w:val="0"/>
      </w:pPr>
    </w:p>
    <w:p>
      <w:pPr>
        <w:pStyle w:val="Heading1"/>
        <w:keepLines w:val="0"/>
      </w:pPr>
      <w:r>
        <w:t>Appendix A - Recommended Power BI Model Relationships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184"/>
            <w:shd w:fill="1F4E78"/>
            <w:vAlign w:val="center"/>
            <w:tcMar>
              <w:top w:w="80" w:type="dxa"/>
              <w:start w:w="80" w:type="dxa"/>
              <w:bottom w:w="80" w:type="dxa"/>
              <w:end w:w="80" w:type="dxa"/>
            </w:tcMar>
          </w:tcPr>
          <w:p>
            <w:pPr>
              <w:jc w:val="center"/>
            </w:pPr>
            <w:r>
              <w:rPr>
                <w:b/>
                <w:color w:val="FFFFFF"/>
                <w:sz w:val="18"/>
              </w:rPr>
              <w:t>One Side</w:t>
            </w:r>
          </w:p>
        </w:tc>
        <w:tc>
          <w:tcPr>
            <w:tcW w:type="dxa" w:w="6192"/>
            <w:shd w:fill="1F4E78"/>
            <w:vAlign w:val="center"/>
            <w:tcMar>
              <w:top w:w="80" w:type="dxa"/>
              <w:start w:w="80" w:type="dxa"/>
              <w:bottom w:w="80" w:type="dxa"/>
              <w:end w:w="80" w:type="dxa"/>
            </w:tcMar>
          </w:tcPr>
          <w:p>
            <w:pPr>
              <w:jc w:val="center"/>
            </w:pPr>
            <w:r>
              <w:rPr>
                <w:b/>
                <w:color w:val="FFFFFF"/>
                <w:sz w:val="18"/>
              </w:rPr>
              <w:t>Many Side</w:t>
            </w:r>
          </w:p>
        </w:tc>
      </w:tr>
      <w:tr>
        <w:tc>
          <w:tcPr>
            <w:tcW w:type="dxa" w:w="5184"/>
            <w:vAlign w:val="top"/>
            <w:tcMar>
              <w:top w:w="80" w:type="dxa"/>
              <w:start w:w="80" w:type="dxa"/>
              <w:bottom w:w="80" w:type="dxa"/>
              <w:end w:w="80" w:type="dxa"/>
            </w:tcMar>
          </w:tcPr>
          <w:p>
            <w:r>
              <w:rPr>
                <w:sz w:val="17"/>
              </w:rPr>
              <w:t>Dim_Date[DateKey]</w:t>
            </w:r>
          </w:p>
        </w:tc>
        <w:tc>
          <w:tcPr>
            <w:tcW w:type="dxa" w:w="6192"/>
            <w:vAlign w:val="top"/>
            <w:tcMar>
              <w:top w:w="80" w:type="dxa"/>
              <w:start w:w="80" w:type="dxa"/>
              <w:bottom w:w="80" w:type="dxa"/>
              <w:end w:w="80" w:type="dxa"/>
            </w:tcMar>
          </w:tcPr>
          <w:p>
            <w:r>
              <w:rPr>
                <w:sz w:val="17"/>
              </w:rPr>
              <w:t>Fact_Configuration[SnapshotDateKey]</w:t>
            </w:r>
          </w:p>
        </w:tc>
      </w:tr>
      <w:tr>
        <w:tc>
          <w:tcPr>
            <w:tcW w:type="dxa" w:w="5184"/>
            <w:vAlign w:val="top"/>
            <w:tcMar>
              <w:top w:w="80" w:type="dxa"/>
              <w:start w:w="80" w:type="dxa"/>
              <w:bottom w:w="80" w:type="dxa"/>
              <w:end w:w="80" w:type="dxa"/>
            </w:tcMar>
          </w:tcPr>
          <w:p>
            <w:r>
              <w:rPr>
                <w:sz w:val="17"/>
              </w:rPr>
              <w:t>Dim_Date[DateKey]</w:t>
            </w:r>
          </w:p>
        </w:tc>
        <w:tc>
          <w:tcPr>
            <w:tcW w:type="dxa" w:w="6192"/>
            <w:vAlign w:val="top"/>
            <w:tcMar>
              <w:top w:w="80" w:type="dxa"/>
              <w:start w:w="80" w:type="dxa"/>
              <w:bottom w:w="80" w:type="dxa"/>
              <w:end w:w="80" w:type="dxa"/>
            </w:tcMar>
          </w:tcPr>
          <w:p>
            <w:r>
              <w:rPr>
                <w:sz w:val="17"/>
              </w:rPr>
              <w:t>Fact_Encryption[SnapshotDateKey]</w:t>
            </w:r>
          </w:p>
        </w:tc>
      </w:tr>
      <w:tr>
        <w:tc>
          <w:tcPr>
            <w:tcW w:type="dxa" w:w="5184"/>
            <w:vAlign w:val="top"/>
            <w:tcMar>
              <w:top w:w="80" w:type="dxa"/>
              <w:start w:w="80" w:type="dxa"/>
              <w:bottom w:w="80" w:type="dxa"/>
              <w:end w:w="80" w:type="dxa"/>
            </w:tcMar>
          </w:tcPr>
          <w:p>
            <w:r>
              <w:rPr>
                <w:sz w:val="17"/>
              </w:rPr>
              <w:t>Dim_Date[DateKey]</w:t>
            </w:r>
          </w:p>
        </w:tc>
        <w:tc>
          <w:tcPr>
            <w:tcW w:type="dxa" w:w="6192"/>
            <w:vAlign w:val="top"/>
            <w:tcMar>
              <w:top w:w="80" w:type="dxa"/>
              <w:start w:w="80" w:type="dxa"/>
              <w:bottom w:w="80" w:type="dxa"/>
              <w:end w:w="80" w:type="dxa"/>
            </w:tcMar>
          </w:tcPr>
          <w:p>
            <w:r>
              <w:rPr>
                <w:sz w:val="17"/>
              </w:rPr>
              <w:t>Fact_Patch[SnapshotDateKey]</w:t>
            </w:r>
          </w:p>
        </w:tc>
      </w:tr>
      <w:tr>
        <w:tc>
          <w:tcPr>
            <w:tcW w:type="dxa" w:w="5184"/>
            <w:vAlign w:val="top"/>
            <w:tcMar>
              <w:top w:w="80" w:type="dxa"/>
              <w:start w:w="80" w:type="dxa"/>
              <w:bottom w:w="80" w:type="dxa"/>
              <w:end w:w="80" w:type="dxa"/>
            </w:tcMar>
          </w:tcPr>
          <w:p>
            <w:r>
              <w:rPr>
                <w:sz w:val="17"/>
              </w:rPr>
              <w:t>Dim_Date[DateKey]</w:t>
            </w:r>
          </w:p>
        </w:tc>
        <w:tc>
          <w:tcPr>
            <w:tcW w:type="dxa" w:w="6192"/>
            <w:vAlign w:val="top"/>
            <w:tcMar>
              <w:top w:w="80" w:type="dxa"/>
              <w:start w:w="80" w:type="dxa"/>
              <w:bottom w:w="80" w:type="dxa"/>
              <w:end w:w="80" w:type="dxa"/>
            </w:tcMar>
          </w:tcPr>
          <w:p>
            <w:r>
              <w:rPr>
                <w:sz w:val="17"/>
              </w:rPr>
              <w:t>Fact_Vulnerability[SnapshotDateKey]</w:t>
            </w:r>
          </w:p>
        </w:tc>
      </w:tr>
      <w:tr>
        <w:tc>
          <w:tcPr>
            <w:tcW w:type="dxa" w:w="5184"/>
            <w:vAlign w:val="top"/>
            <w:tcMar>
              <w:top w:w="80" w:type="dxa"/>
              <w:start w:w="80" w:type="dxa"/>
              <w:bottom w:w="80" w:type="dxa"/>
              <w:end w:w="80" w:type="dxa"/>
            </w:tcMar>
          </w:tcPr>
          <w:p>
            <w:r>
              <w:rPr>
                <w:sz w:val="17"/>
              </w:rPr>
              <w:t>Dim_Device[DeviceID]</w:t>
            </w:r>
          </w:p>
        </w:tc>
        <w:tc>
          <w:tcPr>
            <w:tcW w:type="dxa" w:w="6192"/>
            <w:vAlign w:val="top"/>
            <w:tcMar>
              <w:top w:w="80" w:type="dxa"/>
              <w:start w:w="80" w:type="dxa"/>
              <w:bottom w:w="80" w:type="dxa"/>
              <w:end w:w="80" w:type="dxa"/>
            </w:tcMar>
          </w:tcPr>
          <w:p>
            <w:r>
              <w:rPr>
                <w:sz w:val="17"/>
              </w:rPr>
              <w:t>All device-domain fact tables[DeviceID]</w:t>
            </w:r>
          </w:p>
        </w:tc>
      </w:tr>
      <w:tr>
        <w:tc>
          <w:tcPr>
            <w:tcW w:type="dxa" w:w="5184"/>
            <w:vAlign w:val="top"/>
            <w:tcMar>
              <w:top w:w="80" w:type="dxa"/>
              <w:start w:w="80" w:type="dxa"/>
              <w:bottom w:w="80" w:type="dxa"/>
              <w:end w:w="80" w:type="dxa"/>
            </w:tcMar>
          </w:tcPr>
          <w:p>
            <w:r>
              <w:rPr>
                <w:sz w:val="17"/>
              </w:rPr>
              <w:t>Dim_Software[SoftwareID]</w:t>
            </w:r>
          </w:p>
        </w:tc>
        <w:tc>
          <w:tcPr>
            <w:tcW w:type="dxa" w:w="6192"/>
            <w:vAlign w:val="top"/>
            <w:tcMar>
              <w:top w:w="80" w:type="dxa"/>
              <w:start w:w="80" w:type="dxa"/>
              <w:bottom w:w="80" w:type="dxa"/>
              <w:end w:w="80" w:type="dxa"/>
            </w:tcMar>
          </w:tcPr>
          <w:p>
            <w:r>
              <w:rPr>
                <w:sz w:val="17"/>
              </w:rPr>
              <w:t>Fact_SoftwareInventory and Fact_SoftwareWorkflow[SoftwareID]</w:t>
            </w:r>
          </w:p>
        </w:tc>
      </w:tr>
      <w:tr>
        <w:tc>
          <w:tcPr>
            <w:tcW w:type="dxa" w:w="5184"/>
            <w:vAlign w:val="top"/>
            <w:tcMar>
              <w:top w:w="80" w:type="dxa"/>
              <w:start w:w="80" w:type="dxa"/>
              <w:bottom w:w="80" w:type="dxa"/>
              <w:end w:w="80" w:type="dxa"/>
            </w:tcMar>
          </w:tcPr>
          <w:p>
            <w:r>
              <w:rPr>
                <w:sz w:val="17"/>
              </w:rPr>
              <w:t>Dim_Control[ControlID]</w:t>
            </w:r>
          </w:p>
        </w:tc>
        <w:tc>
          <w:tcPr>
            <w:tcW w:type="dxa" w:w="6192"/>
            <w:vAlign w:val="top"/>
            <w:tcMar>
              <w:top w:w="80" w:type="dxa"/>
              <w:start w:w="80" w:type="dxa"/>
              <w:bottom w:w="80" w:type="dxa"/>
              <w:end w:w="80" w:type="dxa"/>
            </w:tcMar>
          </w:tcPr>
          <w:p>
            <w:r>
              <w:rPr>
                <w:sz w:val="17"/>
              </w:rPr>
              <w:t>Fact_Exception and detailed control evaluation facts[ControlID]</w:t>
            </w:r>
          </w:p>
        </w:tc>
      </w:tr>
      <w:tr>
        <w:tc>
          <w:tcPr>
            <w:tcW w:type="dxa" w:w="5184"/>
            <w:vAlign w:val="top"/>
            <w:tcMar>
              <w:top w:w="80" w:type="dxa"/>
              <w:start w:w="80" w:type="dxa"/>
              <w:bottom w:w="80" w:type="dxa"/>
              <w:end w:w="80" w:type="dxa"/>
            </w:tcMar>
          </w:tcPr>
          <w:p>
            <w:r>
              <w:rPr>
                <w:sz w:val="17"/>
              </w:rPr>
              <w:t>Dim_Region[RegionID]</w:t>
            </w:r>
          </w:p>
        </w:tc>
        <w:tc>
          <w:tcPr>
            <w:tcW w:type="dxa" w:w="6192"/>
            <w:vAlign w:val="top"/>
            <w:tcMar>
              <w:top w:w="80" w:type="dxa"/>
              <w:start w:w="80" w:type="dxa"/>
              <w:bottom w:w="80" w:type="dxa"/>
              <w:end w:w="80" w:type="dxa"/>
            </w:tcMar>
          </w:tcPr>
          <w:p>
            <w:r>
              <w:rPr>
                <w:sz w:val="17"/>
              </w:rPr>
              <w:t>Dim_Device[RegionID]</w:t>
            </w:r>
          </w:p>
        </w:tc>
      </w:tr>
      <w:tr>
        <w:tc>
          <w:tcPr>
            <w:tcW w:type="dxa" w:w="5184"/>
            <w:vAlign w:val="top"/>
            <w:tcMar>
              <w:top w:w="80" w:type="dxa"/>
              <w:start w:w="80" w:type="dxa"/>
              <w:bottom w:w="80" w:type="dxa"/>
              <w:end w:w="80" w:type="dxa"/>
            </w:tcMar>
          </w:tcPr>
          <w:p>
            <w:r>
              <w:rPr>
                <w:sz w:val="17"/>
              </w:rPr>
              <w:t>Dim_Organization[OrganizationID]</w:t>
            </w:r>
          </w:p>
        </w:tc>
        <w:tc>
          <w:tcPr>
            <w:tcW w:type="dxa" w:w="6192"/>
            <w:vAlign w:val="top"/>
            <w:tcMar>
              <w:top w:w="80" w:type="dxa"/>
              <w:start w:w="80" w:type="dxa"/>
              <w:bottom w:w="80" w:type="dxa"/>
              <w:end w:w="80" w:type="dxa"/>
            </w:tcMar>
          </w:tcPr>
          <w:p>
            <w:r>
              <w:rPr>
                <w:sz w:val="17"/>
              </w:rPr>
              <w:t>Dim_Device[OrganizationID]</w:t>
            </w:r>
          </w:p>
        </w:tc>
      </w:tr>
      <w:tr>
        <w:tc>
          <w:tcPr>
            <w:tcW w:type="dxa" w:w="5184"/>
            <w:vAlign w:val="top"/>
            <w:tcMar>
              <w:top w:w="80" w:type="dxa"/>
              <w:start w:w="80" w:type="dxa"/>
              <w:bottom w:w="80" w:type="dxa"/>
              <w:end w:w="80" w:type="dxa"/>
            </w:tcMar>
          </w:tcPr>
          <w:p>
            <w:r>
              <w:rPr>
                <w:sz w:val="17"/>
              </w:rPr>
              <w:t>Dim_Platform[PlatformID]</w:t>
            </w:r>
          </w:p>
        </w:tc>
        <w:tc>
          <w:tcPr>
            <w:tcW w:type="dxa" w:w="6192"/>
            <w:vAlign w:val="top"/>
            <w:tcMar>
              <w:top w:w="80" w:type="dxa"/>
              <w:start w:w="80" w:type="dxa"/>
              <w:bottom w:w="80" w:type="dxa"/>
              <w:end w:w="80" w:type="dxa"/>
            </w:tcMar>
          </w:tcPr>
          <w:p>
            <w:r>
              <w:rPr>
                <w:sz w:val="17"/>
              </w:rPr>
              <w:t>Dim_Device[PlatformID]</w:t>
            </w:r>
          </w:p>
        </w:tc>
      </w:tr>
    </w:tbl>
    <w:p>
      <w:pPr>
        <w:keepLines w:val="0"/>
      </w:pPr>
    </w:p>
    <w:p>
      <w:pPr>
        <w:keepLines w:val="0"/>
      </w:pPr>
      <w:r>
        <w:t>All relationships should normally use single-direction filtering from the dimension to the fact. Direct fact-to-fact relationships should be avoided.</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Alldyn / Fiserv End User Computing | Architecture Approach</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EUC Audit Readiness Reporting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546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F243E"/>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 Custom"/>
    <w:rPr>
      <w:rFonts w:ascii="Aptos" w:hAnsi="Aptos"/>
      <w:color w:val="595959"/>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