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12AC" w:rsidRPr="008C5B37" w:rsidRDefault="008C5B37" w:rsidP="008C5B37">
      <w:pPr>
        <w:jc w:val="center"/>
        <w:rPr>
          <w:b/>
        </w:rPr>
      </w:pPr>
      <w:r w:rsidRPr="008C5B37">
        <w:rPr>
          <w:b/>
        </w:rPr>
        <w:t>JERARQUIZACION DE DIAGNOSTICOS</w:t>
      </w:r>
    </w:p>
    <w:p w:rsidR="008C5B37" w:rsidRPr="008C5B37" w:rsidRDefault="008C5B37" w:rsidP="008C5B37">
      <w:pPr>
        <w:pStyle w:val="Prrafodelista"/>
        <w:numPr>
          <w:ilvl w:val="0"/>
          <w:numId w:val="5"/>
        </w:numPr>
        <w:spacing w:line="360" w:lineRule="auto"/>
        <w:jc w:val="left"/>
        <w:rPr>
          <w:rFonts w:ascii="Arial" w:hAnsi="Arial" w:cs="Arial"/>
          <w:sz w:val="24"/>
          <w:szCs w:val="24"/>
        </w:rPr>
      </w:pPr>
      <w:r w:rsidRPr="008C5B37">
        <w:rPr>
          <w:rFonts w:ascii="Arial" w:hAnsi="Arial" w:cs="Arial"/>
          <w:sz w:val="24"/>
          <w:szCs w:val="24"/>
        </w:rPr>
        <w:t>Real alteración del estado emocional relacionado con el ambiente y rutinas desconocidas, procedimientos y expectoración oral sanguinolenta que presenta.</w:t>
      </w:r>
    </w:p>
    <w:p w:rsidR="008C5B37" w:rsidRPr="008C5B37" w:rsidRDefault="008C5B37" w:rsidP="008C5B37">
      <w:pPr>
        <w:pStyle w:val="Prrafodelista"/>
        <w:numPr>
          <w:ilvl w:val="0"/>
          <w:numId w:val="5"/>
        </w:numPr>
        <w:spacing w:before="240" w:line="360" w:lineRule="auto"/>
        <w:jc w:val="left"/>
        <w:rPr>
          <w:rFonts w:ascii="Arial" w:hAnsi="Arial" w:cs="Arial"/>
          <w:sz w:val="24"/>
          <w:szCs w:val="24"/>
        </w:rPr>
      </w:pPr>
      <w:r w:rsidRPr="008C5B37">
        <w:rPr>
          <w:rFonts w:ascii="Arial" w:hAnsi="Arial" w:cs="Arial"/>
          <w:sz w:val="24"/>
          <w:szCs w:val="24"/>
        </w:rPr>
        <w:t xml:space="preserve">Dolor y dificultad para deglutir relacionado a pos operatorio de la cirugía de </w:t>
      </w:r>
      <w:proofErr w:type="spellStart"/>
      <w:r w:rsidRPr="008C5B37">
        <w:rPr>
          <w:rFonts w:ascii="Arial" w:hAnsi="Arial" w:cs="Arial"/>
          <w:sz w:val="24"/>
          <w:szCs w:val="24"/>
        </w:rPr>
        <w:t>amigadelctomia</w:t>
      </w:r>
      <w:proofErr w:type="spellEnd"/>
      <w:r w:rsidRPr="008C5B37">
        <w:rPr>
          <w:rFonts w:ascii="Arial" w:hAnsi="Arial" w:cs="Arial"/>
          <w:sz w:val="24"/>
          <w:szCs w:val="24"/>
        </w:rPr>
        <w:t>.</w:t>
      </w:r>
    </w:p>
    <w:p w:rsidR="008C5B37" w:rsidRPr="008C5B37" w:rsidRDefault="008C5B37" w:rsidP="008C5B37">
      <w:pPr>
        <w:pStyle w:val="Prrafodelista"/>
        <w:numPr>
          <w:ilvl w:val="0"/>
          <w:numId w:val="5"/>
        </w:numPr>
        <w:spacing w:after="0" w:line="360" w:lineRule="auto"/>
        <w:jc w:val="left"/>
        <w:rPr>
          <w:rFonts w:ascii="Arial" w:hAnsi="Arial" w:cs="Arial"/>
          <w:sz w:val="24"/>
          <w:szCs w:val="24"/>
        </w:rPr>
      </w:pPr>
      <w:r w:rsidRPr="008C5B37">
        <w:rPr>
          <w:rFonts w:ascii="Arial" w:hAnsi="Arial" w:cs="Arial"/>
          <w:sz w:val="24"/>
          <w:szCs w:val="24"/>
        </w:rPr>
        <w:t>Potencial Alteración del patrón de eliminación intestinal (estreñimiento) relacionado al reposo  prolongado.</w:t>
      </w:r>
    </w:p>
    <w:p w:rsidR="008C5B37" w:rsidRPr="008C5B37" w:rsidRDefault="008C5B37" w:rsidP="008C5B37">
      <w:pPr>
        <w:pStyle w:val="Prrafodelista"/>
        <w:numPr>
          <w:ilvl w:val="0"/>
          <w:numId w:val="5"/>
        </w:numPr>
        <w:spacing w:line="360" w:lineRule="auto"/>
        <w:jc w:val="left"/>
        <w:rPr>
          <w:rFonts w:ascii="Arial" w:eastAsia="Calibri" w:hAnsi="Arial" w:cs="Arial"/>
          <w:sz w:val="24"/>
          <w:szCs w:val="24"/>
          <w:lang w:val="es-ES"/>
        </w:rPr>
      </w:pPr>
      <w:r w:rsidRPr="008C5B37">
        <w:rPr>
          <w:rFonts w:ascii="Arial" w:eastAsia="Calibri" w:hAnsi="Arial" w:cs="Arial"/>
          <w:sz w:val="24"/>
          <w:szCs w:val="24"/>
          <w:lang w:val="es-ES"/>
        </w:rPr>
        <w:t>Potencial de disminución en sus actividades relacionado a cirugía secundario a cuidados pos operatorios en casa.</w:t>
      </w:r>
    </w:p>
    <w:p w:rsidR="008C5B37" w:rsidRDefault="008C5B37" w:rsidP="008C5B37">
      <w:pPr>
        <w:pStyle w:val="Prrafodelista"/>
        <w:numPr>
          <w:ilvl w:val="0"/>
          <w:numId w:val="5"/>
        </w:numPr>
        <w:spacing w:after="0"/>
        <w:jc w:val="left"/>
        <w:rPr>
          <w:rFonts w:ascii="Arial" w:eastAsia="Times New Roman" w:hAnsi="Arial" w:cs="Arial"/>
          <w:bCs/>
          <w:sz w:val="24"/>
          <w:szCs w:val="24"/>
          <w:lang w:val="es-ES" w:eastAsia="es-ES"/>
        </w:rPr>
      </w:pPr>
      <w:r w:rsidRPr="008C5B37">
        <w:rPr>
          <w:rFonts w:ascii="Arial" w:eastAsia="Times New Roman" w:hAnsi="Arial" w:cs="Arial"/>
          <w:bCs/>
          <w:sz w:val="24"/>
          <w:szCs w:val="24"/>
          <w:lang w:eastAsia="es-ES"/>
        </w:rPr>
        <w:t>Real  alteración  del patrón de sueño</w:t>
      </w:r>
      <w:r w:rsidRPr="008C5B37">
        <w:rPr>
          <w:rFonts w:ascii="Arial" w:eastAsia="Times New Roman" w:hAnsi="Arial" w:cs="Arial"/>
          <w:bCs/>
          <w:sz w:val="24"/>
          <w:szCs w:val="24"/>
          <w:lang w:val="es-ES" w:eastAsia="es-ES"/>
        </w:rPr>
        <w:t xml:space="preserve"> relacionado al dolor y factores del entorno.</w:t>
      </w:r>
    </w:p>
    <w:p w:rsidR="008C5B37" w:rsidRPr="008C5B37" w:rsidRDefault="008C5B37" w:rsidP="008C5B37">
      <w:pPr>
        <w:pStyle w:val="Prrafodelista"/>
        <w:numPr>
          <w:ilvl w:val="0"/>
          <w:numId w:val="5"/>
        </w:numPr>
        <w:spacing w:after="0"/>
        <w:jc w:val="left"/>
        <w:rPr>
          <w:rFonts w:ascii="Arial" w:eastAsia="Times New Roman" w:hAnsi="Arial" w:cs="Arial"/>
          <w:bCs/>
          <w:sz w:val="24"/>
          <w:szCs w:val="24"/>
          <w:lang w:val="es-ES" w:eastAsia="es-ES"/>
        </w:rPr>
      </w:pPr>
      <w:r w:rsidRPr="008C5B37">
        <w:rPr>
          <w:rFonts w:ascii="Arial" w:eastAsia="Calibri" w:hAnsi="Arial" w:cs="Arial"/>
          <w:sz w:val="24"/>
          <w:szCs w:val="24"/>
          <w:lang w:val="es-ES"/>
        </w:rPr>
        <w:t>Alteración de la necesidad cognoscitiva relacionado con la cirugía que le produce dolor en la deglución después de la cirugía.</w:t>
      </w:r>
    </w:p>
    <w:p w:rsidR="008C5B37" w:rsidRPr="00607F33" w:rsidRDefault="008C5B37" w:rsidP="008C5B37">
      <w:pPr>
        <w:numPr>
          <w:ilvl w:val="0"/>
          <w:numId w:val="5"/>
        </w:num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607F33">
        <w:rPr>
          <w:rFonts w:ascii="Arial" w:hAnsi="Arial" w:cs="Arial"/>
          <w:sz w:val="24"/>
          <w:szCs w:val="24"/>
        </w:rPr>
        <w:t>Estrés y preocupación relacionada a hospitalización e incertidumbre sobre cuidados posoperatorios en casa.</w:t>
      </w:r>
    </w:p>
    <w:p w:rsidR="008C5B37" w:rsidRPr="00607F33" w:rsidRDefault="008C5B37" w:rsidP="008C5B37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607F33">
        <w:rPr>
          <w:rFonts w:ascii="Arial" w:hAnsi="Arial" w:cs="Arial"/>
          <w:sz w:val="24"/>
          <w:szCs w:val="24"/>
        </w:rPr>
        <w:t>Depresión y sensación de soledad relacionado a alejamiento momentáneo de la familia y estilo de vida social.</w:t>
      </w:r>
    </w:p>
    <w:p w:rsidR="008C5B37" w:rsidRPr="008C5B37" w:rsidRDefault="008C5B37" w:rsidP="008C5B37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C5B37">
        <w:rPr>
          <w:rFonts w:ascii="Arial" w:hAnsi="Arial" w:cs="Arial"/>
          <w:sz w:val="24"/>
          <w:szCs w:val="24"/>
          <w:lang w:val="es-ES"/>
        </w:rPr>
        <w:t>Falta de realización de autoexamen de mama relacionado a déficit de conocimientos.</w:t>
      </w:r>
    </w:p>
    <w:p w:rsidR="008C5B37" w:rsidRDefault="008C5B37" w:rsidP="008C5B37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DB5C3B">
        <w:rPr>
          <w:rFonts w:ascii="Arial" w:hAnsi="Arial" w:cs="Arial"/>
          <w:sz w:val="24"/>
          <w:szCs w:val="24"/>
          <w:lang w:val="es-ES"/>
        </w:rPr>
        <w:t>Ansiedad y preocupación relacionada con ambiente hospitalario y cuidados pos operatorios en casa, además de situación económica de sus padres.</w:t>
      </w:r>
    </w:p>
    <w:p w:rsidR="005265BF" w:rsidRDefault="005265BF" w:rsidP="005265B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5265BF" w:rsidRDefault="005265BF" w:rsidP="005265B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5265BF" w:rsidRDefault="005265BF" w:rsidP="005265B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5265BF" w:rsidRDefault="005265BF" w:rsidP="005265B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5265BF" w:rsidRDefault="005265BF" w:rsidP="005265B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5265BF" w:rsidRDefault="005265BF" w:rsidP="005265B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5265BF" w:rsidRDefault="005265BF" w:rsidP="005265B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5265BF" w:rsidRPr="00CA2BA1" w:rsidRDefault="005265BF" w:rsidP="00CA2BA1"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CA2BA1">
        <w:rPr>
          <w:rFonts w:ascii="Arial" w:hAnsi="Arial" w:cs="Arial"/>
          <w:b/>
          <w:sz w:val="24"/>
          <w:szCs w:val="24"/>
          <w:lang w:val="es-ES"/>
        </w:rPr>
        <w:lastRenderedPageBreak/>
        <w:t>BIBLIOGRAFIA</w:t>
      </w:r>
    </w:p>
    <w:p w:rsidR="005265BF" w:rsidRDefault="00AF77EA" w:rsidP="005265B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Bruner,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sudarth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, tratado de enfermería </w:t>
      </w:r>
      <w:r w:rsidR="00CA2BA1">
        <w:rPr>
          <w:rFonts w:ascii="Arial" w:hAnsi="Arial" w:cs="Arial"/>
          <w:sz w:val="24"/>
          <w:szCs w:val="24"/>
          <w:lang w:val="es-ES"/>
        </w:rPr>
        <w:t>Médico-Quirúrgica</w:t>
      </w:r>
      <w:r w:rsidR="009A0315">
        <w:rPr>
          <w:rFonts w:ascii="Arial" w:hAnsi="Arial" w:cs="Arial"/>
          <w:sz w:val="24"/>
          <w:szCs w:val="24"/>
          <w:lang w:val="es-ES"/>
        </w:rPr>
        <w:t>, Mc Graw-Hill Interamericana, 2004.</w:t>
      </w:r>
    </w:p>
    <w:p w:rsidR="009A0315" w:rsidRDefault="009A0315" w:rsidP="005265B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proofErr w:type="spellStart"/>
      <w:r>
        <w:rPr>
          <w:rFonts w:ascii="Arial" w:hAnsi="Arial" w:cs="Arial"/>
          <w:sz w:val="24"/>
          <w:szCs w:val="24"/>
          <w:lang w:val="es-ES"/>
        </w:rPr>
        <w:t>Lynda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Juall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Carpenito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, planes de cuidados y documentación en </w:t>
      </w:r>
      <w:r w:rsidR="00CA2BA1">
        <w:rPr>
          <w:rFonts w:ascii="Arial" w:hAnsi="Arial" w:cs="Arial"/>
          <w:sz w:val="24"/>
          <w:szCs w:val="24"/>
          <w:lang w:val="es-ES"/>
        </w:rPr>
        <w:t>enfermería</w:t>
      </w:r>
      <w:r>
        <w:rPr>
          <w:rFonts w:ascii="Arial" w:hAnsi="Arial" w:cs="Arial"/>
          <w:sz w:val="24"/>
          <w:szCs w:val="24"/>
          <w:lang w:val="es-ES"/>
        </w:rPr>
        <w:t>, Interamericana Mc Graw-Hill, 2005</w:t>
      </w:r>
    </w:p>
    <w:p w:rsidR="005000FF" w:rsidRDefault="005000FF" w:rsidP="005265B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proofErr w:type="spellStart"/>
      <w:r>
        <w:rPr>
          <w:rFonts w:ascii="Arial" w:hAnsi="Arial" w:cs="Arial"/>
          <w:sz w:val="24"/>
          <w:szCs w:val="24"/>
          <w:lang w:val="es-ES"/>
        </w:rPr>
        <w:t>Armenteros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Fenton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, temas de enfermería </w:t>
      </w:r>
      <w:r w:rsidR="00CA2BA1">
        <w:rPr>
          <w:rFonts w:ascii="Arial" w:hAnsi="Arial" w:cs="Arial"/>
          <w:sz w:val="24"/>
          <w:szCs w:val="24"/>
          <w:lang w:val="es-ES"/>
        </w:rPr>
        <w:t>Médico</w:t>
      </w:r>
      <w:r>
        <w:rPr>
          <w:rFonts w:ascii="Arial" w:hAnsi="Arial" w:cs="Arial"/>
          <w:sz w:val="24"/>
          <w:szCs w:val="24"/>
          <w:lang w:val="es-ES"/>
        </w:rPr>
        <w:t>-</w:t>
      </w:r>
      <w:r w:rsidR="00CA2BA1">
        <w:rPr>
          <w:rFonts w:ascii="Arial" w:hAnsi="Arial" w:cs="Arial"/>
          <w:sz w:val="24"/>
          <w:szCs w:val="24"/>
          <w:lang w:val="es-ES"/>
        </w:rPr>
        <w:t>Quirúrgico</w:t>
      </w:r>
      <w:r>
        <w:rPr>
          <w:rFonts w:ascii="Arial" w:hAnsi="Arial" w:cs="Arial"/>
          <w:sz w:val="24"/>
          <w:szCs w:val="24"/>
          <w:lang w:val="es-ES"/>
        </w:rPr>
        <w:t xml:space="preserve">, Editorial Ciencias </w:t>
      </w:r>
      <w:r w:rsidR="00CA2BA1">
        <w:rPr>
          <w:rFonts w:ascii="Arial" w:hAnsi="Arial" w:cs="Arial"/>
          <w:sz w:val="24"/>
          <w:szCs w:val="24"/>
          <w:lang w:val="es-ES"/>
        </w:rPr>
        <w:t>Médicas</w:t>
      </w:r>
      <w:r>
        <w:rPr>
          <w:rFonts w:ascii="Arial" w:hAnsi="Arial" w:cs="Arial"/>
          <w:sz w:val="24"/>
          <w:szCs w:val="24"/>
          <w:lang w:val="es-ES"/>
        </w:rPr>
        <w:t>, 2007.</w:t>
      </w:r>
    </w:p>
    <w:p w:rsidR="009A0315" w:rsidRDefault="00CA2BA1" w:rsidP="005265B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proofErr w:type="spellStart"/>
      <w:r>
        <w:rPr>
          <w:rFonts w:ascii="Arial" w:hAnsi="Arial" w:cs="Arial"/>
          <w:sz w:val="24"/>
          <w:szCs w:val="24"/>
          <w:lang w:val="es-ES"/>
        </w:rPr>
        <w:t>Vademecum</w:t>
      </w:r>
      <w:proofErr w:type="spellEnd"/>
      <w:r>
        <w:rPr>
          <w:rFonts w:ascii="Arial" w:hAnsi="Arial" w:cs="Arial"/>
          <w:sz w:val="24"/>
          <w:szCs w:val="24"/>
          <w:lang w:val="es-ES"/>
        </w:rPr>
        <w:t>, Diccionario de la Lengua Española, Real Academia Española, 2001.</w:t>
      </w:r>
    </w:p>
    <w:p w:rsidR="009A0315" w:rsidRPr="00402885" w:rsidRDefault="00CA2BA1" w:rsidP="005265B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hyperlink r:id="rId6" w:tooltip="Goodman &amp; Gilman" w:history="1">
        <w:r w:rsidRPr="00402885">
          <w:rPr>
            <w:rStyle w:val="Hipervnculo"/>
            <w:rFonts w:ascii="Arial" w:hAnsi="Arial" w:cs="Arial"/>
            <w:color w:val="auto"/>
            <w:sz w:val="24"/>
            <w:szCs w:val="24"/>
            <w:u w:val="none"/>
            <w:shd w:val="clear" w:color="auto" w:fill="FFFFFF"/>
          </w:rPr>
          <w:t xml:space="preserve">Goodman &amp; </w:t>
        </w:r>
        <w:proofErr w:type="spellStart"/>
        <w:r w:rsidRPr="00402885">
          <w:rPr>
            <w:rStyle w:val="Hipervnculo"/>
            <w:rFonts w:ascii="Arial" w:hAnsi="Arial" w:cs="Arial"/>
            <w:color w:val="auto"/>
            <w:sz w:val="24"/>
            <w:szCs w:val="24"/>
            <w:u w:val="none"/>
            <w:shd w:val="clear" w:color="auto" w:fill="FFFFFF"/>
          </w:rPr>
          <w:t>Gilman</w:t>
        </w:r>
        <w:proofErr w:type="spellEnd"/>
      </w:hyperlink>
      <w:r w:rsidRPr="00402885">
        <w:rPr>
          <w:rFonts w:ascii="Arial" w:hAnsi="Arial" w:cs="Arial"/>
          <w:sz w:val="24"/>
          <w:szCs w:val="24"/>
          <w:shd w:val="clear" w:color="auto" w:fill="FFFFFF"/>
        </w:rPr>
        <w:t xml:space="preserve">. Las bases farmacológicas de la </w:t>
      </w:r>
      <w:proofErr w:type="gramStart"/>
      <w:r w:rsidRPr="00402885">
        <w:rPr>
          <w:rFonts w:ascii="Arial" w:hAnsi="Arial" w:cs="Arial"/>
          <w:sz w:val="24"/>
          <w:szCs w:val="24"/>
          <w:shd w:val="clear" w:color="auto" w:fill="FFFFFF"/>
        </w:rPr>
        <w:t>Terapéutica .</w:t>
      </w:r>
      <w:proofErr w:type="gramEnd"/>
      <w:r w:rsidRPr="00402885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Pr="00402885">
        <w:rPr>
          <w:rFonts w:ascii="Arial" w:hAnsi="Arial" w:cs="Arial"/>
          <w:sz w:val="24"/>
          <w:szCs w:val="24"/>
          <w:shd w:val="clear" w:color="auto" w:fill="FFFFFF"/>
        </w:rPr>
        <w:t>Brunton</w:t>
      </w:r>
      <w:proofErr w:type="spellEnd"/>
      <w:r w:rsidRPr="00402885">
        <w:rPr>
          <w:rFonts w:ascii="Arial" w:hAnsi="Arial" w:cs="Arial"/>
          <w:sz w:val="24"/>
          <w:szCs w:val="24"/>
          <w:shd w:val="clear" w:color="auto" w:fill="FFFFFF"/>
        </w:rPr>
        <w:t xml:space="preserve"> L, Parker K. 2006</w:t>
      </w:r>
    </w:p>
    <w:p w:rsidR="008C5B37" w:rsidRPr="00402885" w:rsidRDefault="00402885" w:rsidP="00402885">
      <w:pPr>
        <w:spacing w:after="0"/>
        <w:rPr>
          <w:rFonts w:ascii="Arial" w:eastAsia="Times New Roman" w:hAnsi="Arial" w:cs="Arial"/>
          <w:bCs/>
          <w:sz w:val="32"/>
          <w:szCs w:val="24"/>
          <w:lang w:val="es-ES" w:eastAsia="es-ES"/>
        </w:rPr>
      </w:pPr>
      <w:proofErr w:type="spellStart"/>
      <w:r w:rsidRPr="00402885">
        <w:rPr>
          <w:rFonts w:ascii="Arial" w:hAnsi="Arial" w:cs="Arial"/>
          <w:sz w:val="24"/>
          <w:szCs w:val="21"/>
          <w:shd w:val="clear" w:color="auto" w:fill="FFFFFF"/>
        </w:rPr>
        <w:t>Gatell</w:t>
      </w:r>
      <w:proofErr w:type="spellEnd"/>
      <w:r w:rsidRPr="00402885">
        <w:rPr>
          <w:rFonts w:ascii="Arial" w:hAnsi="Arial" w:cs="Arial"/>
          <w:sz w:val="24"/>
          <w:szCs w:val="21"/>
          <w:shd w:val="clear" w:color="auto" w:fill="FFFFFF"/>
        </w:rPr>
        <w:t xml:space="preserve"> J Mª, </w:t>
      </w:r>
      <w:proofErr w:type="spellStart"/>
      <w:r w:rsidRPr="00402885">
        <w:rPr>
          <w:rFonts w:ascii="Arial" w:hAnsi="Arial" w:cs="Arial"/>
          <w:sz w:val="24"/>
          <w:szCs w:val="21"/>
          <w:shd w:val="clear" w:color="auto" w:fill="FFFFFF"/>
        </w:rPr>
        <w:t>Azanza</w:t>
      </w:r>
      <w:proofErr w:type="spellEnd"/>
      <w:r w:rsidRPr="00402885">
        <w:rPr>
          <w:rFonts w:ascii="Arial" w:hAnsi="Arial" w:cs="Arial"/>
          <w:sz w:val="24"/>
          <w:szCs w:val="21"/>
          <w:shd w:val="clear" w:color="auto" w:fill="FFFFFF"/>
        </w:rPr>
        <w:t xml:space="preserve"> J R, et al. </w:t>
      </w:r>
      <w:proofErr w:type="spellStart"/>
      <w:r w:rsidRPr="00402885">
        <w:rPr>
          <w:rFonts w:ascii="Arial" w:hAnsi="Arial" w:cs="Arial"/>
          <w:sz w:val="24"/>
          <w:szCs w:val="21"/>
          <w:shd w:val="clear" w:color="auto" w:fill="FFFFFF"/>
        </w:rPr>
        <w:t>Elsevier</w:t>
      </w:r>
      <w:proofErr w:type="spellEnd"/>
      <w:r w:rsidRPr="00402885">
        <w:rPr>
          <w:rFonts w:ascii="Arial" w:hAnsi="Arial" w:cs="Arial"/>
          <w:sz w:val="24"/>
          <w:szCs w:val="21"/>
          <w:shd w:val="clear" w:color="auto" w:fill="FFFFFF"/>
        </w:rPr>
        <w:t xml:space="preserve"> </w:t>
      </w:r>
      <w:proofErr w:type="spellStart"/>
      <w:r w:rsidRPr="00402885">
        <w:rPr>
          <w:rFonts w:ascii="Arial" w:hAnsi="Arial" w:cs="Arial"/>
          <w:sz w:val="24"/>
          <w:szCs w:val="21"/>
          <w:shd w:val="clear" w:color="auto" w:fill="FFFFFF"/>
        </w:rPr>
        <w:t>Doym</w:t>
      </w:r>
      <w:r>
        <w:rPr>
          <w:rFonts w:ascii="Arial" w:hAnsi="Arial" w:cs="Arial"/>
          <w:sz w:val="24"/>
          <w:szCs w:val="21"/>
          <w:shd w:val="clear" w:color="auto" w:fill="FFFFFF"/>
        </w:rPr>
        <w:t>a</w:t>
      </w:r>
      <w:proofErr w:type="spellEnd"/>
      <w:r>
        <w:rPr>
          <w:rFonts w:ascii="Arial" w:hAnsi="Arial" w:cs="Arial"/>
          <w:sz w:val="24"/>
          <w:szCs w:val="21"/>
          <w:shd w:val="clear" w:color="auto" w:fill="FFFFFF"/>
        </w:rPr>
        <w:t xml:space="preserve"> </w:t>
      </w:r>
      <w:r w:rsidRPr="00402885">
        <w:rPr>
          <w:rFonts w:ascii="Arial" w:hAnsi="Arial" w:cs="Arial"/>
          <w:sz w:val="24"/>
          <w:szCs w:val="21"/>
          <w:shd w:val="clear" w:color="auto" w:fill="FFFFFF"/>
        </w:rPr>
        <w:t>Guía de terapéutica antimicrobiana 2008. Mensa J,  2008</w:t>
      </w:r>
    </w:p>
    <w:p w:rsidR="008C5B37" w:rsidRPr="008C5B37" w:rsidRDefault="008C5B37" w:rsidP="008C5B37">
      <w:pPr>
        <w:spacing w:line="360" w:lineRule="auto"/>
        <w:contextualSpacing/>
        <w:rPr>
          <w:rFonts w:ascii="Arial" w:eastAsia="Calibri" w:hAnsi="Arial" w:cs="Arial"/>
          <w:sz w:val="24"/>
          <w:szCs w:val="24"/>
          <w:lang w:val="es-ES"/>
        </w:rPr>
      </w:pPr>
      <w:bookmarkStart w:id="0" w:name="_GoBack"/>
      <w:bookmarkEnd w:id="0"/>
    </w:p>
    <w:p w:rsidR="008C5B37" w:rsidRPr="008C5B37" w:rsidRDefault="008C5B37">
      <w:pPr>
        <w:rPr>
          <w:lang w:val="es-ES"/>
        </w:rPr>
      </w:pPr>
    </w:p>
    <w:sectPr w:rsidR="008C5B37" w:rsidRPr="008C5B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F3246"/>
    <w:multiLevelType w:val="hybridMultilevel"/>
    <w:tmpl w:val="E604C32C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A95C40"/>
    <w:multiLevelType w:val="hybridMultilevel"/>
    <w:tmpl w:val="99E2DC9C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E333DB"/>
    <w:multiLevelType w:val="hybridMultilevel"/>
    <w:tmpl w:val="0FE8779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A1405B"/>
    <w:multiLevelType w:val="hybridMultilevel"/>
    <w:tmpl w:val="55A4F4D2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7306E5"/>
    <w:multiLevelType w:val="hybridMultilevel"/>
    <w:tmpl w:val="FF82B592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DD4DFB"/>
    <w:multiLevelType w:val="hybridMultilevel"/>
    <w:tmpl w:val="CA48B77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B36F86"/>
    <w:multiLevelType w:val="hybridMultilevel"/>
    <w:tmpl w:val="6B1A36D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157E36"/>
    <w:multiLevelType w:val="hybridMultilevel"/>
    <w:tmpl w:val="6B46F654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B77F09"/>
    <w:multiLevelType w:val="hybridMultilevel"/>
    <w:tmpl w:val="BD0A9B58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CBC32B0"/>
    <w:multiLevelType w:val="multilevel"/>
    <w:tmpl w:val="8B36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6"/>
  </w:num>
  <w:num w:numId="5">
    <w:abstractNumId w:val="3"/>
  </w:num>
  <w:num w:numId="6">
    <w:abstractNumId w:val="0"/>
  </w:num>
  <w:num w:numId="7">
    <w:abstractNumId w:val="1"/>
  </w:num>
  <w:num w:numId="8">
    <w:abstractNumId w:val="7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B37"/>
    <w:rsid w:val="003C2450"/>
    <w:rsid w:val="00402885"/>
    <w:rsid w:val="005000FF"/>
    <w:rsid w:val="005265BF"/>
    <w:rsid w:val="008C5B37"/>
    <w:rsid w:val="009A0315"/>
    <w:rsid w:val="00AF77EA"/>
    <w:rsid w:val="00CA2BA1"/>
    <w:rsid w:val="00F1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C5B37"/>
    <w:pPr>
      <w:ind w:left="720"/>
      <w:contextualSpacing/>
      <w:jc w:val="center"/>
    </w:pPr>
    <w:rPr>
      <w:rFonts w:asciiTheme="majorHAnsi" w:hAnsiTheme="majorHAnsi"/>
    </w:rPr>
  </w:style>
  <w:style w:type="character" w:customStyle="1" w:styleId="citation">
    <w:name w:val="citation"/>
    <w:basedOn w:val="Fuentedeprrafopredeter"/>
    <w:rsid w:val="00CA2BA1"/>
  </w:style>
  <w:style w:type="character" w:styleId="Hipervnculo">
    <w:name w:val="Hyperlink"/>
    <w:basedOn w:val="Fuentedeprrafopredeter"/>
    <w:uiPriority w:val="99"/>
    <w:semiHidden/>
    <w:unhideWhenUsed/>
    <w:rsid w:val="00CA2BA1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CA2BA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C5B37"/>
    <w:pPr>
      <w:ind w:left="720"/>
      <w:contextualSpacing/>
      <w:jc w:val="center"/>
    </w:pPr>
    <w:rPr>
      <w:rFonts w:asciiTheme="majorHAnsi" w:hAnsiTheme="majorHAnsi"/>
    </w:rPr>
  </w:style>
  <w:style w:type="character" w:customStyle="1" w:styleId="citation">
    <w:name w:val="citation"/>
    <w:basedOn w:val="Fuentedeprrafopredeter"/>
    <w:rsid w:val="00CA2BA1"/>
  </w:style>
  <w:style w:type="character" w:styleId="Hipervnculo">
    <w:name w:val="Hyperlink"/>
    <w:basedOn w:val="Fuentedeprrafopredeter"/>
    <w:uiPriority w:val="99"/>
    <w:semiHidden/>
    <w:unhideWhenUsed/>
    <w:rsid w:val="00CA2BA1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CA2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49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.wikipedia.org/wiki/Goodman_%26_Gilma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280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2</cp:revision>
  <dcterms:created xsi:type="dcterms:W3CDTF">2015-07-17T21:48:00Z</dcterms:created>
  <dcterms:modified xsi:type="dcterms:W3CDTF">2015-07-18T03:50:00Z</dcterms:modified>
</cp:coreProperties>
</file>